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/>
        <w:keepLines/>
        <w:adjustRightInd w:val="0"/>
        <w:snapToGrid w:val="0"/>
        <w:spacing w:line="288" w:lineRule="auto"/>
        <w:jc w:val="center"/>
        <w:outlineLvl w:val="0"/>
        <w:rPr>
          <w:rFonts w:hint="eastAsia" w:ascii="Times New Roman" w:hAnsi="Times New Roman"/>
          <w:b/>
          <w:bCs/>
          <w:kern w:val="44"/>
          <w:sz w:val="44"/>
          <w:szCs w:val="44"/>
        </w:rPr>
      </w:pPr>
      <w:bookmarkStart w:id="0" w:name="_Toc26784"/>
      <w:bookmarkStart w:id="1" w:name="_Toc29727"/>
      <w:r>
        <w:rPr>
          <w:rFonts w:hint="eastAsia" w:ascii="Times New Roman" w:hAnsi="Times New Roman"/>
          <w:b/>
          <w:bCs/>
          <w:kern w:val="44"/>
          <w:sz w:val="44"/>
          <w:szCs w:val="44"/>
        </w:rPr>
        <w:t>真题部分</w:t>
      </w:r>
      <w:bookmarkEnd w:id="0"/>
      <w:bookmarkEnd w:id="1"/>
    </w:p>
    <w:p>
      <w:pPr>
        <w:keepNext/>
        <w:keepLines/>
        <w:adjustRightInd w:val="0"/>
        <w:snapToGrid w:val="0"/>
        <w:spacing w:before="312" w:beforeLines="100"/>
        <w:jc w:val="center"/>
        <w:outlineLvl w:val="1"/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3" w:name="_GoBack"/>
      <w:bookmarkStart w:id="2" w:name="_Toc31288"/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2022考研哈尔滨师范大学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333教育综合真题</w:t>
      </w:r>
      <w:bookmarkEnd w:id="3"/>
      <w:bookmarkEnd w:id="2"/>
    </w:p>
    <w:p>
      <w:pPr>
        <w:numPr>
          <w:ilvl w:val="0"/>
          <w:numId w:val="0"/>
        </w:numP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名词解释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：共6小题，每题5分，共30分。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1.学校教育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2.谈话法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3.教学质量管理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4.课程设计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5.教学原则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6.教育制度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、简答题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小题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每题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分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40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分。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1.学生身心发展规律。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2.宋代书院的教学特点。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3.裴斯泰洛齐的教育心理学化基本方法。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4.布鲁纳结构教学理论。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三、论述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题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小题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，每题20分，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80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分。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1.教育的社会功能。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2.孔子道德教育思想。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3.巴特勒的教育法案内容。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4.学生创造性的影响因素和培养理论。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keepNext/>
        <w:keepLines/>
        <w:adjustRightInd w:val="0"/>
        <w:snapToGrid w:val="0"/>
        <w:spacing w:before="312" w:beforeLines="100" w:after="312" w:afterLines="100"/>
        <w:outlineLvl w:val="2"/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outlineLvl w:val="9"/>
      <w:rPr>
        <w:rFonts w:hint="eastAsia"/>
        <w:lang w:eastAsia="zh-CN"/>
      </w:rPr>
    </w:pPr>
    <w:r>
      <w:rPr>
        <w:rFonts w:hint="eastAsia" w:ascii="宋体" w:hAnsi="宋体" w:eastAsia="宋体" w:cs="宋体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-134620</wp:posOffset>
          </wp:positionV>
          <wp:extent cx="1032510" cy="256540"/>
          <wp:effectExtent l="0" t="0" r="3810" b="2540"/>
          <wp:wrapNone/>
          <wp:docPr id="3" name="图片 3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699770</wp:posOffset>
          </wp:positionV>
          <wp:extent cx="5274310" cy="7463790"/>
          <wp:effectExtent l="0" t="0" r="0" b="0"/>
          <wp:wrapNone/>
          <wp:docPr id="5" name="WordPictureWatermark41272" descr="文都考研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1272" descr="文都考研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0228C"/>
    <w:rsid w:val="0D0366EC"/>
    <w:rsid w:val="0D3F41B9"/>
    <w:rsid w:val="0E040BE6"/>
    <w:rsid w:val="1C532753"/>
    <w:rsid w:val="1D000D34"/>
    <w:rsid w:val="20724672"/>
    <w:rsid w:val="23E574EA"/>
    <w:rsid w:val="2EBF01CD"/>
    <w:rsid w:val="3773499B"/>
    <w:rsid w:val="43BA4C2B"/>
    <w:rsid w:val="668C74F4"/>
    <w:rsid w:val="7720228C"/>
    <w:rsid w:val="77B6514A"/>
    <w:rsid w:val="7BA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2021-12-10T01:18:00Z</dcterms:created>
  <dc:creator>起风了</dc:creator>
  <cp:lastModifiedBy>命运G</cp:lastModifiedBy>
  <dcterms:modified xsi:type="dcterms:W3CDTF">2021-12-27T01:32:52Z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095C450804A64D3C9667C8CB4B13BF5B</vt:lpwstr>
  </property>
</Properties>
</file>