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uto"/>
        <w:jc w:val="center"/>
        <w:rPr>
          <w:rFonts w:ascii="黑体" w:hAnsi="黑体" w:eastAsia="黑体" w:cs="黑体"/>
          <w:b/>
          <w:color w:val="000000"/>
        </w:rPr>
      </w:pPr>
      <w:r>
        <w:rPr>
          <w:rFonts w:hint="eastAsia" w:ascii="黑体" w:hAnsi="黑体" w:eastAsia="黑体" w:cs="黑体"/>
          <w:b/>
          <w:color w:val="000000"/>
        </w:rPr>
        <w:t>202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</w:rPr>
        <w:t>2心理学考研真题抢先看-首都师范大学347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一、名词解释</w:t>
      </w:r>
    </w:p>
    <w:p>
      <w:pPr>
        <w:spacing w:line="240" w:lineRule="auto"/>
        <w:jc w:val="left"/>
      </w:pPr>
      <w:r>
        <w:rPr>
          <w:rFonts w:ascii="微软雅黑" w:hAnsi="微软雅黑" w:eastAsia="微软雅黑" w:cs="微软雅黑"/>
          <w:color w:val="171A1D"/>
          <w:sz w:val="22"/>
        </w:rPr>
        <w:t>1.情绪</w:t>
      </w:r>
    </w:p>
    <w:p>
      <w:pPr>
        <w:spacing w:line="240" w:lineRule="auto"/>
        <w:jc w:val="left"/>
      </w:pPr>
      <w:r>
        <w:rPr>
          <w:rFonts w:ascii="微软雅黑" w:hAnsi="微软雅黑" w:eastAsia="微软雅黑" w:cs="微软雅黑"/>
          <w:color w:val="171A1D"/>
          <w:sz w:val="22"/>
        </w:rPr>
        <w:t>2.系列位置效应</w:t>
      </w:r>
    </w:p>
    <w:p>
      <w:pPr>
        <w:spacing w:line="240" w:lineRule="auto"/>
        <w:jc w:val="left"/>
      </w:pPr>
      <w:r>
        <w:rPr>
          <w:rFonts w:ascii="微软雅黑" w:hAnsi="微软雅黑" w:eastAsia="微软雅黑" w:cs="微软雅黑"/>
          <w:color w:val="171A1D"/>
          <w:sz w:val="22"/>
        </w:rPr>
        <w:t>3.表象</w:t>
      </w:r>
    </w:p>
    <w:p>
      <w:pPr>
        <w:spacing w:line="240" w:lineRule="auto"/>
        <w:jc w:val="left"/>
      </w:pPr>
      <w:r>
        <w:rPr>
          <w:rFonts w:ascii="微软雅黑" w:hAnsi="微软雅黑" w:eastAsia="微软雅黑" w:cs="微软雅黑"/>
          <w:color w:val="171A1D"/>
          <w:sz w:val="22"/>
        </w:rPr>
        <w:t>4.随意注意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二、简答题</w:t>
      </w:r>
    </w:p>
    <w:p>
      <w:pPr>
        <w:spacing w:line="240" w:lineRule="auto"/>
        <w:jc w:val="left"/>
      </w:pPr>
      <w:r>
        <w:rPr>
          <w:sz w:val="22"/>
        </w:rPr>
        <w:t>1.简述4种类型的动机冲突。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三、论述题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sz w:val="22"/>
        </w:rPr>
        <w:t>1.班杜拉的理论是什么？并举例在生活当中的应用？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文都比邻乐凡老师简评：</w:t>
      </w:r>
      <w:r>
        <w:rPr>
          <w:rFonts w:ascii="黑体" w:hAnsi="黑体" w:eastAsia="黑体" w:cs="黑体"/>
        </w:rPr>
        <w:t xml:space="preserve"> 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sz w:val="24"/>
          <w:szCs w:val="24"/>
        </w:rPr>
        <w:t xml:space="preserve">     2022年首都师范大学347真题考查难度</w:t>
      </w:r>
      <w:r>
        <w:rPr>
          <w:rFonts w:ascii="黑体" w:hAnsi="黑体" w:eastAsia="黑体" w:cs="黑体"/>
          <w:color w:val="FF0000"/>
          <w:sz w:val="24"/>
          <w:szCs w:val="24"/>
        </w:rPr>
        <w:t>基本持平</w:t>
      </w:r>
      <w:r>
        <w:rPr>
          <w:rFonts w:ascii="黑体" w:hAnsi="黑体" w:eastAsia="黑体" w:cs="黑体"/>
          <w:color w:val="000000"/>
          <w:sz w:val="24"/>
          <w:szCs w:val="24"/>
        </w:rPr>
        <w:t>。</w:t>
      </w:r>
      <w:r>
        <w:rPr>
          <w:rFonts w:ascii="黑体" w:hAnsi="黑体" w:eastAsia="黑体" w:cs="黑体"/>
          <w:sz w:val="24"/>
          <w:szCs w:val="24"/>
        </w:rPr>
        <w:t>题型、题量都沿用了首师一贯的风格，比较常规。最后的分析题目难度较大，容易</w:t>
      </w:r>
      <w:r>
        <w:rPr>
          <w:rFonts w:ascii="黑体" w:hAnsi="黑体" w:eastAsia="黑体" w:cs="黑体"/>
          <w:color w:val="FF0000"/>
          <w:sz w:val="24"/>
          <w:szCs w:val="24"/>
        </w:rPr>
        <w:t>失分</w:t>
      </w:r>
      <w:r>
        <w:rPr>
          <w:rFonts w:ascii="黑体" w:hAnsi="黑体" w:eastAsia="黑体" w:cs="黑体"/>
          <w:color w:val="000000"/>
          <w:sz w:val="24"/>
          <w:szCs w:val="24"/>
        </w:rPr>
        <w:t>，</w:t>
      </w:r>
      <w:r>
        <w:rPr>
          <w:rFonts w:ascii="黑体" w:hAnsi="黑体" w:eastAsia="黑体" w:cs="黑体"/>
          <w:sz w:val="24"/>
          <w:szCs w:val="24"/>
        </w:rPr>
        <w:t>考生一定要能够把实验与统计的相关知识点结合起来，做到灵活运用。</w:t>
      </w:r>
    </w:p>
    <w:p>
      <w:pPr>
        <w:jc w:val="left"/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outlineLvl w:val="9"/>
    </w:pPr>
    <w:r>
      <w:rPr>
        <w:rFonts w:hint="eastAsia" w:ascii="宋体" w:hAnsi="宋体" w:eastAsia="宋体" w:cs="宋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1032510" cy="256540"/>
          <wp:effectExtent l="0" t="0" r="3810" b="2540"/>
          <wp:wrapNone/>
          <wp:docPr id="3" name="图片 3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150495</wp:posOffset>
          </wp:positionH>
          <wp:positionV relativeFrom="margin">
            <wp:posOffset>852805</wp:posOffset>
          </wp:positionV>
          <wp:extent cx="5274310" cy="7463790"/>
          <wp:effectExtent l="0" t="0" r="0" b="0"/>
          <wp:wrapNone/>
          <wp:docPr id="2" name="WordPictureWatermark41272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1272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2540" b="3810"/>
          <wp:wrapNone/>
          <wp:docPr id="1" name="WordPictureWatermark29849" descr="满屏水印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849" descr="满屏水印-"/>
                  <pic:cNvPicPr>
                    <a:picLocks noChangeAspect="1"/>
                  </pic:cNvPicPr>
                </pic:nvPicPr>
                <pic:blipFill>
                  <a:blip r:embed="rId3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2B98705C"/>
    <w:rsid w:val="2D643749"/>
    <w:rsid w:val="4E23571D"/>
    <w:rsid w:val="744F1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石墨文档正文"/>
    <w:qFormat/>
    <w:uiPriority w:val="0"/>
    <w:rPr>
      <w:rFonts w:ascii="微软雅黑" w:hAnsi="微软雅黑" w:eastAsia="微软雅黑" w:cs="微软雅黑"/>
      <w:sz w:val="22"/>
      <w:szCs w:val="22"/>
    </w:rPr>
  </w:style>
  <w:style w:type="paragraph" w:customStyle="1" w:styleId="7">
    <w:name w:val="石墨文档标题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40"/>
      <w:szCs w:val="40"/>
    </w:rPr>
  </w:style>
  <w:style w:type="paragraph" w:customStyle="1" w:styleId="8">
    <w:name w:val="石墨文档副标题"/>
    <w:qFormat/>
    <w:uiPriority w:val="0"/>
    <w:pPr>
      <w:spacing w:before="260" w:after="260"/>
    </w:pPr>
    <w:rPr>
      <w:rFonts w:ascii="微软雅黑" w:hAnsi="微软雅黑" w:eastAsia="微软雅黑" w:cs="微软雅黑"/>
      <w:color w:val="888888"/>
      <w:sz w:val="36"/>
      <w:szCs w:val="36"/>
    </w:rPr>
  </w:style>
  <w:style w:type="paragraph" w:customStyle="1" w:styleId="9">
    <w:name w:val="石墨文档标题 1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customStyle="1" w:styleId="10">
    <w:name w:val="石墨文档标题 2"/>
    <w:next w:val="6"/>
    <w:unhideWhenUsed/>
    <w:qFormat/>
    <w:uiPriority w:val="9"/>
    <w:pPr>
      <w:spacing w:before="260" w:after="26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customStyle="1" w:styleId="11">
    <w:name w:val="石墨文档标题 3"/>
    <w:next w:val="6"/>
    <w:unhideWhenUsed/>
    <w:qFormat/>
    <w:uiPriority w:val="9"/>
    <w:pPr>
      <w:spacing w:before="260" w:after="260"/>
      <w:outlineLvl w:val="2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12">
    <w:name w:val="石墨文档标题 4"/>
    <w:next w:val="6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</w:rPr>
  </w:style>
  <w:style w:type="paragraph" w:customStyle="1" w:styleId="13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2021-12-26T09:55:00Z</dcterms:created>
  <dc:creator> </dc:creator>
  <cp:lastModifiedBy>命运G</cp:lastModifiedBy>
  <dcterms:modified xsi:type="dcterms:W3CDTF">2021-12-27T01:28:47Z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1E04575BC339493EACAF45A9DE1316A9</vt:lpwstr>
  </property>
</Properties>
</file>