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jc w:val="center"/>
        <w:rPr>
          <w:rFonts w:ascii="黑体" w:hAnsi="黑体" w:eastAsia="黑体" w:cs="黑体"/>
          <w:b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</w:rPr>
        <w:t>2022心理学考研真题抢先看-南京大学347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一、名词解释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1.心境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2.诱因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3.知觉定势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二、简答题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1.简述外显记忆与内隐记忆的关系。</w:t>
      </w:r>
    </w:p>
    <w:p>
      <w:pPr>
        <w:spacing w:line="240" w:lineRule="auto"/>
        <w:jc w:val="left"/>
      </w:pPr>
      <w:r>
        <w:rPr>
          <w:rFonts w:ascii="微软雅黑" w:hAnsi="微软雅黑" w:eastAsia="微软雅黑" w:cs="微软雅黑"/>
          <w:color w:val="171A1D"/>
          <w:sz w:val="22"/>
        </w:rPr>
        <w:t>2.简述速度与准确率的权衡现象。</w:t>
      </w: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三、论述题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color w:val="000000"/>
          <w:sz w:val="24"/>
          <w:szCs w:val="24"/>
        </w:rPr>
        <w:t>1.</w:t>
      </w:r>
      <w:r>
        <w:rPr>
          <w:rFonts w:ascii="微软雅黑" w:hAnsi="微软雅黑" w:eastAsia="微软雅黑" w:cs="微软雅黑"/>
          <w:color w:val="171A1D"/>
          <w:sz w:val="22"/>
        </w:rPr>
        <w:t>人的情绪是如何产生的，如何保持健康的情绪状态。</w:t>
      </w:r>
    </w:p>
    <w:p>
      <w:pPr>
        <w:spacing w:line="240" w:lineRule="auto"/>
        <w:jc w:val="left"/>
      </w:pPr>
    </w:p>
    <w:p>
      <w:pPr>
        <w:pStyle w:val="10"/>
        <w:spacing w:line="240" w:lineRule="auto"/>
        <w:jc w:val="left"/>
      </w:pPr>
      <w:r>
        <w:rPr>
          <w:rFonts w:ascii="黑体" w:hAnsi="黑体" w:eastAsia="黑体" w:cs="黑体"/>
          <w:b/>
          <w:color w:val="000000"/>
        </w:rPr>
        <w:t>文都比邻老师简评：</w:t>
      </w:r>
      <w:r>
        <w:rPr>
          <w:rFonts w:ascii="黑体" w:hAnsi="黑体" w:eastAsia="黑体" w:cs="黑体"/>
        </w:rPr>
        <w:t xml:space="preserve"> </w:t>
      </w:r>
    </w:p>
    <w:p>
      <w:pPr>
        <w:spacing w:line="240" w:lineRule="auto"/>
        <w:jc w:val="left"/>
      </w:pPr>
      <w:r>
        <w:rPr>
          <w:rFonts w:ascii="黑体" w:hAnsi="黑体" w:eastAsia="黑体" w:cs="黑体"/>
          <w:sz w:val="24"/>
          <w:szCs w:val="24"/>
        </w:rPr>
        <w:t xml:space="preserve">     2022年南京大学347真题考查难度中等，与21年持平，没有偏、难、怪以及超纲的题目。易失分点在于：考查考生对相应知识点之间的关系的总结，对综合能力要求比较高。</w:t>
      </w:r>
    </w:p>
    <w:p>
      <w:pPr>
        <w:jc w:val="left"/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outlineLvl w:val="9"/>
    </w:pPr>
    <w:r>
      <w:rPr>
        <w:rFonts w:hint="eastAsia" w:ascii="宋体" w:hAnsi="宋体" w:eastAsia="宋体" w:cs="宋体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-134620</wp:posOffset>
          </wp:positionV>
          <wp:extent cx="1032510" cy="256540"/>
          <wp:effectExtent l="0" t="0" r="3810" b="2540"/>
          <wp:wrapNone/>
          <wp:docPr id="3" name="图片 3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150495</wp:posOffset>
          </wp:positionH>
          <wp:positionV relativeFrom="margin">
            <wp:posOffset>852805</wp:posOffset>
          </wp:positionV>
          <wp:extent cx="5274310" cy="7463790"/>
          <wp:effectExtent l="0" t="0" r="0" b="0"/>
          <wp:wrapNone/>
          <wp:docPr id="2" name="WordPictureWatermark41272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1272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2540" b="3810"/>
          <wp:wrapNone/>
          <wp:docPr id="1" name="WordPictureWatermark29849" descr="满屏水印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849" descr="满屏水印-"/>
                  <pic:cNvPicPr>
                    <a:picLocks noChangeAspect="1"/>
                  </pic:cNvPicPr>
                </pic:nvPicPr>
                <pic:blipFill>
                  <a:blip r:embed="rId3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B905CA2"/>
    <w:rsid w:val="2461011A"/>
    <w:rsid w:val="6D891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="微软雅黑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石墨文档正文"/>
    <w:qFormat/>
    <w:uiPriority w:val="0"/>
    <w:rPr>
      <w:rFonts w:ascii="微软雅黑" w:hAnsi="微软雅黑" w:eastAsia="微软雅黑" w:cs="微软雅黑"/>
      <w:sz w:val="22"/>
      <w:szCs w:val="22"/>
    </w:rPr>
  </w:style>
  <w:style w:type="paragraph" w:customStyle="1" w:styleId="7">
    <w:name w:val="石墨文档标题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40"/>
      <w:szCs w:val="40"/>
    </w:rPr>
  </w:style>
  <w:style w:type="paragraph" w:customStyle="1" w:styleId="8">
    <w:name w:val="石墨文档副标题"/>
    <w:qFormat/>
    <w:uiPriority w:val="0"/>
    <w:pPr>
      <w:spacing w:before="260" w:after="260"/>
    </w:pPr>
    <w:rPr>
      <w:rFonts w:ascii="微软雅黑" w:hAnsi="微软雅黑" w:eastAsia="微软雅黑" w:cs="微软雅黑"/>
      <w:color w:val="888888"/>
      <w:sz w:val="36"/>
      <w:szCs w:val="36"/>
    </w:rPr>
  </w:style>
  <w:style w:type="paragraph" w:customStyle="1" w:styleId="9">
    <w:name w:val="石墨文档标题 1"/>
    <w:next w:val="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customStyle="1" w:styleId="10">
    <w:name w:val="石墨文档标题 2"/>
    <w:next w:val="6"/>
    <w:unhideWhenUsed/>
    <w:qFormat/>
    <w:uiPriority w:val="9"/>
    <w:pPr>
      <w:spacing w:before="260" w:after="260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paragraph" w:customStyle="1" w:styleId="11">
    <w:name w:val="石墨文档标题 3"/>
    <w:next w:val="6"/>
    <w:unhideWhenUsed/>
    <w:qFormat/>
    <w:uiPriority w:val="9"/>
    <w:pPr>
      <w:spacing w:before="260" w:after="260"/>
      <w:outlineLvl w:val="2"/>
    </w:pPr>
    <w:rPr>
      <w:rFonts w:ascii="微软雅黑" w:hAnsi="微软雅黑" w:eastAsia="微软雅黑" w:cs="微软雅黑"/>
      <w:b/>
      <w:bCs/>
      <w:sz w:val="26"/>
      <w:szCs w:val="26"/>
    </w:rPr>
  </w:style>
  <w:style w:type="paragraph" w:customStyle="1" w:styleId="12">
    <w:name w:val="石墨文档标题 4"/>
    <w:next w:val="6"/>
    <w:unhideWhenUsed/>
    <w:qFormat/>
    <w:uiPriority w:val="9"/>
    <w:pPr>
      <w:spacing w:before="260" w:after="260"/>
      <w:outlineLvl w:val="3"/>
    </w:pPr>
    <w:rPr>
      <w:rFonts w:ascii="微软雅黑" w:hAnsi="微软雅黑" w:eastAsia="微软雅黑" w:cs="微软雅黑"/>
      <w:b/>
      <w:bCs/>
      <w:sz w:val="24"/>
      <w:szCs w:val="24"/>
    </w:rPr>
  </w:style>
  <w:style w:type="paragraph" w:customStyle="1" w:styleId="13">
    <w:name w:val="石墨文档引用"/>
    <w:qFormat/>
    <w:uiPriority w:val="0"/>
    <w:pPr>
      <w:pBdr>
        <w:left w:val="single" w:color="F0F0F0" w:sz="30" w:space="10"/>
      </w:pBdr>
    </w:pPr>
    <w:rPr>
      <w:rFonts w:ascii="微软雅黑" w:hAnsi="微软雅黑" w:eastAsia="微软雅黑" w:cs="微软雅黑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2021-12-26T09:52:00Z</dcterms:created>
  <dc:creator> </dc:creator>
  <cp:lastModifiedBy>命运G</cp:lastModifiedBy>
  <dcterms:modified xsi:type="dcterms:W3CDTF">2021-12-27T01:27:22Z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E54FEFF4B4B24386B116DED942F4EC0C</vt:lpwstr>
  </property>
</Properties>
</file>