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中国证监局北京监管局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Style w:val="5"/>
        <w:tblW w:w="10033" w:type="dxa"/>
        <w:jc w:val="center"/>
        <w:tblInd w:w="-6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2197"/>
        <w:gridCol w:w="872"/>
        <w:gridCol w:w="657"/>
        <w:gridCol w:w="1476"/>
        <w:gridCol w:w="1104"/>
        <w:gridCol w:w="1078"/>
        <w:gridCol w:w="1303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辖区市场财金类监管岗位主任科员及以下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（400140802001）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纪雪宁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155111061020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北京工商大学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辖区市场财金类监管岗位主任科员及以下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（400140802001）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陈镳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155112020210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天津财经大学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王浩舟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155111061330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英国南安普顿大学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2014.8至今国网山西省电力公司吕梁供电公司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吕潇涵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155111150401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北京国家会计学院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刘江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155131261806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同济大学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李梦洁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155111111312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中国政法大学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蔡绿洲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155111150510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法国斯特拉斯堡大学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2015.7至今北京市康达律师事务所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辖区市场计算机类监管岗位主任科员及以下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（400143802001）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彭小虎</w:t>
            </w: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155131262102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江苏科技大学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2016.7至今西门子（中国）有限公司苏州分公司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6180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144</Words>
  <Characters>824</Characters>
  <Lines>6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向青釉</cp:lastModifiedBy>
  <cp:lastPrinted>2018-05-16T07:44:00Z</cp:lastPrinted>
  <dcterms:modified xsi:type="dcterms:W3CDTF">2018-05-31T10:48:26Z</dcterms:modified>
  <dc:title>中国证监会北京监管局2018年度拟录用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