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450" w:beforeAutospacing="0" w:after="0" w:afterAutospacing="0"/>
        <w:ind w:left="0" w:right="0"/>
        <w:jc w:val="both"/>
      </w:pPr>
      <w:r>
        <w:rPr>
          <w:rFonts w:ascii="微软雅黑" w:hAnsi="微软雅黑" w:eastAsia="微软雅黑" w:cs="微软雅黑"/>
          <w:sz w:val="21"/>
          <w:szCs w:val="21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、引进国内高层次人才待遇 </w:t>
      </w:r>
    </w:p>
    <w:p>
      <w:pPr>
        <w:pStyle w:val="11"/>
        <w:keepNext w:val="0"/>
        <w:keepLines w:val="0"/>
        <w:widowControl/>
        <w:suppressLineNumbers w:val="0"/>
        <w:spacing w:before="4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　　学校为高层次人才设立人才引进专项基金，列入财务预算，主要用于引进高层次人才安家补贴和科研启动费。学校鼓励引进人才面向社会购房。学校一次性给予安家补贴（用于购房、安置费）。工作满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  <w:lang w:val="en-US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年后，安家补贴形成的产权归个人所有。其标准如下： </w:t>
      </w:r>
    </w:p>
    <w:tbl>
      <w:tblPr>
        <w:tblW w:w="7770" w:type="dxa"/>
        <w:jc w:val="center"/>
        <w:tblInd w:w="31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2550"/>
        <w:gridCol w:w="31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人才类别 </w:t>
            </w:r>
          </w:p>
        </w:tc>
        <w:tc>
          <w:tcPr>
            <w:tcW w:w="2550" w:type="dxa"/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安家补贴 </w:t>
            </w:r>
          </w:p>
        </w:tc>
        <w:tc>
          <w:tcPr>
            <w:tcW w:w="3120" w:type="dxa"/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科研启动经费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类人才 </w:t>
            </w:r>
          </w:p>
        </w:tc>
        <w:tc>
          <w:tcPr>
            <w:tcW w:w="2550" w:type="dxa"/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面议 </w:t>
            </w:r>
          </w:p>
        </w:tc>
        <w:tc>
          <w:tcPr>
            <w:tcW w:w="3120" w:type="dxa"/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面议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类人才 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lang w:val="en-US"/>
              </w:rPr>
              <w:t>30-40</w:t>
            </w:r>
            <w:r>
              <w:rPr>
                <w:sz w:val="18"/>
                <w:szCs w:val="18"/>
              </w:rPr>
              <w:t>万元 </w:t>
            </w:r>
          </w:p>
        </w:tc>
        <w:tc>
          <w:tcPr>
            <w:tcW w:w="3120" w:type="dxa"/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自然科学类：</w:t>
            </w:r>
            <w:r>
              <w:rPr>
                <w:sz w:val="18"/>
                <w:szCs w:val="18"/>
                <w:lang w:val="en-US"/>
              </w:rPr>
              <w:t>8-10</w:t>
            </w:r>
            <w:r>
              <w:rPr>
                <w:sz w:val="18"/>
                <w:szCs w:val="18"/>
              </w:rPr>
              <w:t>万元；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人文社科类：</w:t>
            </w:r>
            <w:r>
              <w:rPr>
                <w:sz w:val="18"/>
                <w:szCs w:val="18"/>
                <w:lang w:val="en-US"/>
              </w:rPr>
              <w:t>5-7</w:t>
            </w:r>
            <w:r>
              <w:rPr>
                <w:sz w:val="18"/>
                <w:szCs w:val="18"/>
              </w:rPr>
              <w:t>万元。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类人才 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lang w:val="en-US"/>
              </w:rPr>
              <w:t>20-25</w:t>
            </w:r>
            <w:r>
              <w:rPr>
                <w:sz w:val="18"/>
                <w:szCs w:val="18"/>
              </w:rPr>
              <w:t>万元 </w:t>
            </w:r>
          </w:p>
        </w:tc>
        <w:tc>
          <w:tcPr>
            <w:tcW w:w="3120" w:type="dxa"/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自然科学类：</w:t>
            </w:r>
            <w:r>
              <w:rPr>
                <w:sz w:val="18"/>
                <w:szCs w:val="18"/>
                <w:lang w:val="en-US"/>
              </w:rPr>
              <w:t>3-5</w:t>
            </w:r>
            <w:r>
              <w:rPr>
                <w:sz w:val="18"/>
                <w:szCs w:val="18"/>
              </w:rPr>
              <w:t>万元；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人文社科类：</w:t>
            </w:r>
            <w:r>
              <w:rPr>
                <w:sz w:val="18"/>
                <w:szCs w:val="18"/>
                <w:lang w:val="en-US"/>
              </w:rPr>
              <w:t>2-3</w:t>
            </w:r>
            <w:r>
              <w:rPr>
                <w:sz w:val="18"/>
                <w:szCs w:val="18"/>
              </w:rPr>
              <w:t>万元。 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450" w:beforeAutospacing="0" w:after="0" w:afterAutospacing="0"/>
        <w:ind w:left="0" w:right="0"/>
        <w:jc w:val="both"/>
      </w:pPr>
      <w:r>
        <w:rPr>
          <w:rFonts w:ascii="微软雅黑" w:hAnsi="微软雅黑" w:eastAsia="微软雅黑" w:cs="微软雅黑"/>
          <w:sz w:val="21"/>
          <w:szCs w:val="21"/>
          <w:shd w:val="clear" w:fill="FFFFFF"/>
        </w:rPr>
        <w:t>　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、海外高层次人才引进待遇 </w:t>
      </w:r>
    </w:p>
    <w:p>
      <w:pPr>
        <w:pStyle w:val="11"/>
        <w:keepNext w:val="0"/>
        <w:keepLines w:val="0"/>
        <w:widowControl/>
        <w:suppressLineNumbers w:val="0"/>
        <w:spacing w:before="4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　　学校为第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至第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类高层次人才设立人才引进专项基金，列入财务预算，主要用于引进高层次人才安家补贴和科研启动费。学校鼓励引进人才面向社会购房。学校一次性给予安家补贴（用于购房、安置费）。工作满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  <w:lang w:val="en-US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年后，安家补贴形成的产权归个人所有。其标准如下： </w:t>
      </w:r>
    </w:p>
    <w:tbl>
      <w:tblPr>
        <w:tblW w:w="8175" w:type="dxa"/>
        <w:jc w:val="center"/>
        <w:tblInd w:w="29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425"/>
        <w:gridCol w:w="2280"/>
        <w:gridCol w:w="1395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520" w:type="dxa"/>
            <w:gridSpan w:val="2"/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人才类别 </w:t>
            </w:r>
          </w:p>
        </w:tc>
        <w:tc>
          <w:tcPr>
            <w:tcW w:w="22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薪酬待遇 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安家补贴 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科研条件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博士研究生 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类人才 </w:t>
            </w:r>
          </w:p>
        </w:tc>
        <w:tc>
          <w:tcPr>
            <w:tcW w:w="22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面议 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面议 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提供必要的科研条件和创业环境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类人才 </w:t>
            </w:r>
          </w:p>
        </w:tc>
        <w:tc>
          <w:tcPr>
            <w:tcW w:w="22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年薪</w:t>
            </w: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万元起（税前），优秀者面议 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万元 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提供必要的科研条件和创业环境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类人才 </w:t>
            </w:r>
          </w:p>
        </w:tc>
        <w:tc>
          <w:tcPr>
            <w:tcW w:w="22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年薪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万元起（税前），优秀者面议 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>万元 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提供必要的科研条件和创业环境 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45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　　注：年薪采用“工资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  <w:lang w:val="en-US"/>
        </w:rPr>
        <w:t>+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绩效”方式发放。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2018-02-02T06:19:50Z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