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7" w:type="dxa"/>
        <w:jc w:val="center"/>
        <w:tblInd w:w="-595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035"/>
        <w:gridCol w:w="5567"/>
        <w:gridCol w:w="141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岗位类别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招聘　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招聘部门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土木工程专业，全日制博士研究生学历学位且第一学历为全日制本科土木工程专业，或具有副教授及以上职称（高级工程师）三年以上，年龄45周岁及以下（1971年10月15日以后出生）。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建筑学院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土木工程类专业（钢结构方向），全日制博士研究生学历学位且第一学历为全日制本科土木工程专业，或具有副教授及以上职称（高级工程师）三年以上，年龄45周岁及以下（1971年10月15日以后出生）。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电子商务专业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方向，全日制博士研究生学历学位且第一学历为全日制本科电子商务专业，或具有副教授及以上职称（高级工程师）三年以上，年龄45周岁及以下（1971年10月15日以后出生）。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商务学院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金融专业，全日制博士研究生学历学位且第一学历为全日制本科金融类专业，或具有副教授及以上职称（高级工程师）三年以上，年龄45周岁及以下（1971年10月15日以后出生）。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商务学院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思想政治教育、马克思主义理论、马克思主义基本原理、马克思主义中国化研究、马克思主义发展史专业，中共党员，全日制博士研究生学历学位，或具有副教授及以上职称（高级工程师）三年以上，年龄45周岁及以下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公共课教学部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环境科学、环境工程专业，主要研究方向为:环境监测与技术、城市与区域污染控制、环境污染（水污染、大气污染）与治理、固废处置与资源化。全日制博士研究生学历学位，或具有副教授及以上职称（高级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工程师）三年以上，年龄45周岁及以下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环境能源 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专业教师108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设计学专业（产品设计方向）。全日制博士研究生学历学位，或具有副教授及以上职称（高级工程师）三年以上，年龄45周岁及以下（1971年10月15日以后出生）。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设计学院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专业教师109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工商管理专业。全日制博士研究生学历学位，硕士专业方向为旅游管理、酒店管理专业。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或具有副教授及以上职称（高级工程师）三年以上，有高校从教经历一年以上，年龄45周岁及以下</w:t>
            </w: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旅游航空 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专业教师110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机械电子工程、机械制造及自动化、机械设计、制造及其自动化、材料成型与控制工程专业。全日制博士研究生学历学位，或具有副教授及以上职称（高级工程师）三年以上，年龄45周岁及以下（1971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18"/>
                <w:szCs w:val="18"/>
                <w:lang w:val="en-US" w:eastAsia="zh-CN" w:bidi="ar"/>
              </w:rPr>
              <w:t>机械学院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2017-10-12T13:41:53Z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