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仿宋_GB2312" w:hAnsi="Times New Roman" w:eastAsia="仿宋_GB2312" w:cs="仿宋_GB2312"/>
          <w:b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b/>
          <w:kern w:val="0"/>
          <w:sz w:val="24"/>
          <w:szCs w:val="24"/>
          <w:lang w:val="en-US" w:eastAsia="zh-CN" w:bidi="ar"/>
        </w:rPr>
        <w:t xml:space="preserve">附表1：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b/>
          <w:kern w:val="2"/>
          <w:sz w:val="32"/>
          <w:szCs w:val="32"/>
        </w:rPr>
      </w:pPr>
      <w:r>
        <w:rPr>
          <w:rFonts w:ascii="黑体" w:hAnsi="宋体" w:eastAsia="黑体" w:cs="黑体"/>
          <w:b/>
          <w:kern w:val="2"/>
          <w:sz w:val="32"/>
          <w:szCs w:val="32"/>
          <w:lang w:val="en-US" w:eastAsia="zh-CN" w:bidi="ar"/>
        </w:rPr>
        <w:t>山西省物流技术学校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b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"/>
        </w:rPr>
        <w:t>2016年公开招聘工作人员计划表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仿宋_GB2312" w:eastAsia="仿宋_GB2312" w:cs="仿宋_GB2312"/>
          <w:b/>
          <w:kern w:val="2"/>
          <w:sz w:val="24"/>
          <w:szCs w:val="24"/>
        </w:rPr>
      </w:pPr>
    </w:p>
    <w:tbl>
      <w:tblPr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59"/>
        <w:gridCol w:w="3435"/>
        <w:gridCol w:w="2802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工商管理（一级学科）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应用经济学（一级学科）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美术学（一级学科） 设计学（一级学科）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美术、艺术设计</w:t>
            </w:r>
          </w:p>
        </w:tc>
        <w:tc>
          <w:tcPr>
            <w:tcW w:w="2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属艺术学门类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2149D"/>
    <w:rsid w:val="01C214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2016-08-09T03:01:00Z</dcterms:created>
  <dc:creator>Administrator</dc:creator>
  <cp:lastModifiedBy>Administrator</cp:lastModifiedBy>
  <dcterms:modified xsi:type="dcterms:W3CDTF">2016-08-09T03:02:04Z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