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Style w:val="7"/>
          <w:rFonts w:hint="eastAsia" w:ascii="宋体" w:hAnsi="宋体" w:eastAsia="宋体" w:cs="宋体"/>
          <w:b/>
          <w:bCs w:val="0"/>
          <w:kern w:val="2"/>
          <w:sz w:val="36"/>
          <w:szCs w:val="36"/>
          <w:lang w:val="en-US" w:eastAsia="zh-CN" w:bidi="ar-SA"/>
        </w:rPr>
      </w:pPr>
    </w:p>
    <w:p>
      <w:pPr>
        <w:keepNext w:val="0"/>
        <w:keepLines w:val="0"/>
        <w:widowControl w:val="0"/>
        <w:suppressLineNumbers w:val="0"/>
        <w:spacing w:before="0" w:beforeAutospacing="0" w:after="0" w:afterAutospacing="0"/>
        <w:ind w:left="0" w:right="0"/>
        <w:jc w:val="center"/>
        <w:rPr>
          <w:rStyle w:val="7"/>
          <w:rFonts w:hint="eastAsia" w:ascii="宋体" w:hAnsi="宋体" w:eastAsia="宋体" w:cs="宋体"/>
          <w:b/>
          <w:bCs w:val="0"/>
          <w:kern w:val="2"/>
          <w:sz w:val="36"/>
          <w:szCs w:val="36"/>
          <w:lang w:val="en-US" w:eastAsia="zh-CN" w:bidi="ar-SA"/>
        </w:rPr>
      </w:pPr>
      <w:bookmarkStart w:id="0" w:name="_GoBack"/>
      <w:r>
        <w:rPr>
          <w:rStyle w:val="7"/>
          <w:rFonts w:hint="eastAsia" w:ascii="宋体" w:hAnsi="宋体" w:eastAsia="宋体" w:cs="宋体"/>
          <w:b/>
          <w:bCs w:val="0"/>
          <w:kern w:val="2"/>
          <w:sz w:val="36"/>
          <w:szCs w:val="36"/>
          <w:lang w:val="en-US" w:eastAsia="zh-CN" w:bidi="ar-SA"/>
        </w:rPr>
        <w:t>2022考研政治大纲变化来啦！马原复习攻略奉上！</w:t>
      </w:r>
    </w:p>
    <w:bookmarkEnd w:id="0"/>
    <w:p>
      <w:pPr>
        <w:keepNext w:val="0"/>
        <w:keepLines w:val="0"/>
        <w:widowControl w:val="0"/>
        <w:suppressLineNumbers w:val="0"/>
        <w:spacing w:before="0" w:beforeAutospacing="0" w:after="0" w:afterAutospacing="0"/>
        <w:ind w:left="0" w:right="0"/>
        <w:jc w:val="center"/>
        <w:rPr>
          <w:rStyle w:val="7"/>
          <w:rFonts w:hint="eastAsia" w:ascii="宋体" w:hAnsi="宋体" w:eastAsia="宋体" w:cs="宋体"/>
          <w:b/>
          <w:bCs w:val="0"/>
          <w:kern w:val="2"/>
          <w:sz w:val="36"/>
          <w:szCs w:val="36"/>
          <w:lang w:val="en-US" w:eastAsia="zh-CN" w:bidi="ar-SA"/>
        </w:rPr>
      </w:pPr>
      <w:r>
        <w:rPr>
          <w:rStyle w:val="7"/>
          <w:rFonts w:hint="eastAsia" w:ascii="宋体" w:hAnsi="宋体" w:eastAsia="宋体" w:cs="宋体"/>
          <w:b/>
          <w:bCs w:val="0"/>
          <w:kern w:val="2"/>
          <w:sz w:val="32"/>
          <w:szCs w:val="32"/>
          <w:lang w:val="en-US" w:eastAsia="zh-CN" w:bidi="ar-SA"/>
        </w:rPr>
        <w:t>来源：文都教育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考研政治大纲是考研政治命题的风向标，也是考生复习备考的重要依据。</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是近三年来调整最小的一次。与去年大纲比对，今年新大纲变动共计20处，总体来说马原、史纲和思修、当代变动较小，虽说大纲的调整一般与高校启用2021版新教材密切相关，但本科思政课教材并未对</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结构框架产生影响，这也就在无形中减轻了22考研学子们的压力，一直悬着的心也可以放下了，继续按原计划复习即可。那么，面对今年</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的调整，各位考研学子们在复习马原学科知识时应该如何应对呢？2022考研政治大纲变动后复习重点又有哪些？文都考研现就考研政治马原学科</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变动情况做一些简要的分析和说明，并给出一些备考建议，供各位考研学子们参考！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2022考研政治马原大纲变动仅</w:t>
      </w:r>
      <w:r>
        <w:rPr>
          <w:rFonts w:hint="default" w:ascii="宋体" w:hAnsi="宋体" w:eastAsia="宋体" w:cs="宋体"/>
          <w:b w:val="0"/>
          <w:bCs/>
          <w:kern w:val="0"/>
          <w:sz w:val="24"/>
          <w:szCs w:val="24"/>
          <w:lang w:val="en-US" w:eastAsia="zh-CN" w:bidi="ar-SA"/>
        </w:rPr>
        <w:t>1</w:t>
      </w:r>
      <w:r>
        <w:rPr>
          <w:rFonts w:hint="eastAsia" w:ascii="宋体" w:hAnsi="宋体" w:eastAsia="宋体" w:cs="宋体"/>
          <w:b w:val="0"/>
          <w:bCs/>
          <w:kern w:val="0"/>
          <w:sz w:val="24"/>
          <w:szCs w:val="24"/>
          <w:lang w:val="en-US" w:eastAsia="zh-CN" w:bidi="ar-SA"/>
        </w:rPr>
        <w:t>处，大纲解析中具体内容变动共13处，但均无实质影响。其中同学们只需重点关注如新增、内容变化无实质性变动，比如第四章，“正确评价无产阶级领袖”这一考点变为了“习近平运用历史唯物主义方法评价历史人物的论述”，只是标题变化，无实质内容变化。但纵观</w:t>
      </w:r>
      <w:r>
        <w:rPr>
          <w:rFonts w:hint="default" w:ascii="宋体" w:hAnsi="宋体" w:eastAsia="宋体" w:cs="宋体"/>
          <w:b w:val="0"/>
          <w:bCs/>
          <w:kern w:val="0"/>
          <w:sz w:val="24"/>
          <w:szCs w:val="24"/>
          <w:lang w:val="en-US" w:eastAsia="zh-CN" w:bidi="ar-SA"/>
        </w:rPr>
        <w:t>2022</w:t>
      </w:r>
      <w:r>
        <w:rPr>
          <w:rFonts w:hint="eastAsia" w:ascii="宋体" w:hAnsi="宋体" w:eastAsia="宋体" w:cs="宋体"/>
          <w:b w:val="0"/>
          <w:bCs/>
          <w:kern w:val="0"/>
          <w:sz w:val="24"/>
          <w:szCs w:val="24"/>
          <w:lang w:val="en-US" w:eastAsia="zh-CN" w:bidi="ar-SA"/>
        </w:rPr>
        <w:t>政治考纲变化，再结合今年建党</w:t>
      </w:r>
      <w:r>
        <w:rPr>
          <w:rFonts w:hint="default" w:ascii="宋体" w:hAnsi="宋体" w:eastAsia="宋体" w:cs="宋体"/>
          <w:b w:val="0"/>
          <w:bCs/>
          <w:kern w:val="0"/>
          <w:sz w:val="24"/>
          <w:szCs w:val="24"/>
          <w:lang w:val="en-US" w:eastAsia="zh-CN" w:bidi="ar-SA"/>
        </w:rPr>
        <w:t>100</w:t>
      </w:r>
      <w:r>
        <w:rPr>
          <w:rFonts w:hint="eastAsia" w:ascii="宋体" w:hAnsi="宋体" w:eastAsia="宋体" w:cs="宋体"/>
          <w:b w:val="0"/>
          <w:bCs/>
          <w:kern w:val="0"/>
          <w:sz w:val="24"/>
          <w:szCs w:val="24"/>
          <w:lang w:val="en-US" w:eastAsia="zh-CN" w:bidi="ar-SA"/>
        </w:rPr>
        <w:t>周年习近平总书记的一系列重要讲话，我们不难推测，今年关于人民群众、历史人物等唯物史观部分内容要作为今年复习的重点，要做好客观题和主观题两种题型备考的准备。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因此，2022届考研学子除了关注大纲马原部分的“唯物史观”的变动之外，对于2022考研政治更多地要结合历年真题命题特点以及历年考频及重点来复习，以马原中分值占比最大的两部分“马哲”和“马政经”来说，文都考研为大家整理了近</w:t>
      </w:r>
      <w:r>
        <w:rPr>
          <w:rFonts w:hint="default" w:ascii="宋体" w:hAnsi="宋体" w:eastAsia="宋体" w:cs="宋体"/>
          <w:b w:val="0"/>
          <w:bCs/>
          <w:kern w:val="0"/>
          <w:sz w:val="24"/>
          <w:szCs w:val="24"/>
          <w:lang w:val="en-US" w:eastAsia="zh-CN" w:bidi="ar-SA"/>
        </w:rPr>
        <w:t>5</w:t>
      </w:r>
      <w:r>
        <w:rPr>
          <w:rFonts w:hint="eastAsia" w:ascii="宋体" w:hAnsi="宋体" w:eastAsia="宋体" w:cs="宋体"/>
          <w:b w:val="0"/>
          <w:bCs/>
          <w:kern w:val="0"/>
          <w:sz w:val="24"/>
          <w:szCs w:val="24"/>
          <w:lang w:val="en-US" w:eastAsia="zh-CN" w:bidi="ar-SA"/>
        </w:rPr>
        <w:t>年要重点关注的高频考点：</w:t>
      </w:r>
    </w:p>
    <w:p>
      <w:pPr>
        <w:keepNext w:val="0"/>
        <w:keepLines w:val="0"/>
        <w:widowControl w:val="0"/>
        <w:suppressLineNumbers w:val="0"/>
        <w:autoSpaceDE w:val="0"/>
        <w:autoSpaceDN/>
        <w:spacing w:before="0" w:beforeAutospacing="0" w:after="0" w:afterAutospacing="0" w:line="360" w:lineRule="exact"/>
        <w:ind w:left="0" w:right="0" w:firstLine="420" w:firstLineChars="200"/>
        <w:jc w:val="left"/>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马哲部分：</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31"/>
        <w:gridCol w:w="4221"/>
        <w:gridCol w:w="3655"/>
        <w:gridCol w:w="739"/>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9" w:hRule="atLeast"/>
          <w:jc w:val="center"/>
        </w:trPr>
        <w:tc>
          <w:tcPr>
            <w:tcW w:w="576" w:type="pct"/>
            <w:tcBorders>
              <w:top w:val="nil"/>
              <w:left w:val="single" w:color="FEFEFE" w:sz="4" w:space="0"/>
              <w:bottom w:val="single" w:color="FEFEFE" w:sz="12" w:space="0"/>
              <w:right w:val="single" w:color="FEFEFE" w:sz="12" w:space="0"/>
            </w:tcBorders>
            <w:shd w:val="clear" w:color="auto" w:fill="A4A4A4"/>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章节</w:t>
            </w:r>
          </w:p>
        </w:tc>
        <w:tc>
          <w:tcPr>
            <w:tcW w:w="1975" w:type="pct"/>
            <w:tcBorders>
              <w:top w:val="nil"/>
              <w:left w:val="nil"/>
              <w:bottom w:val="single" w:color="FEFEFE" w:sz="12" w:space="0"/>
              <w:right w:val="single" w:color="FEFEFE" w:sz="12" w:space="0"/>
            </w:tcBorders>
            <w:shd w:val="clear" w:color="auto" w:fill="A4A4A4"/>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考点</w:t>
            </w:r>
          </w:p>
        </w:tc>
        <w:tc>
          <w:tcPr>
            <w:tcW w:w="1710" w:type="pct"/>
            <w:tcBorders>
              <w:top w:val="nil"/>
              <w:left w:val="nil"/>
              <w:bottom w:val="single" w:color="FEFEFE" w:sz="12" w:space="0"/>
              <w:right w:val="single" w:color="FEFEFE" w:sz="12" w:space="0"/>
            </w:tcBorders>
            <w:shd w:val="clear" w:color="auto" w:fill="A4A4A4"/>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考查年份</w:t>
            </w:r>
          </w:p>
        </w:tc>
        <w:tc>
          <w:tcPr>
            <w:tcW w:w="346" w:type="pct"/>
            <w:tcBorders>
              <w:top w:val="nil"/>
              <w:left w:val="nil"/>
              <w:bottom w:val="single" w:color="FEFEFE" w:sz="12" w:space="0"/>
              <w:right w:val="single" w:color="FEFEFE" w:sz="12" w:space="0"/>
            </w:tcBorders>
            <w:shd w:val="clear" w:color="auto" w:fill="A4A4A4"/>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考频</w:t>
            </w:r>
          </w:p>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统计</w:t>
            </w:r>
          </w:p>
        </w:tc>
        <w:tc>
          <w:tcPr>
            <w:tcW w:w="390" w:type="pct"/>
            <w:tcBorders>
              <w:top w:val="nil"/>
              <w:left w:val="nil"/>
              <w:bottom w:val="single" w:color="FEFEFE" w:sz="12" w:space="0"/>
              <w:right w:val="single" w:color="FEFEFE" w:sz="4" w:space="0"/>
            </w:tcBorders>
            <w:shd w:val="clear" w:color="auto" w:fill="A4A4A4"/>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考查</w:t>
            </w:r>
          </w:p>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76" w:type="pct"/>
            <w:tcBorders>
              <w:top w:val="single" w:color="FEFEFE" w:sz="12" w:space="0"/>
              <w:left w:val="single" w:color="FEFEFE" w:sz="4" w:space="0"/>
              <w:bottom w:val="single" w:color="FEFEFE" w:sz="4" w:space="0"/>
              <w:right w:val="single" w:color="FEFEFE" w:sz="4" w:space="0"/>
            </w:tcBorders>
            <w:shd w:val="clear" w:color="auto" w:fill="A7A7A7"/>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第一章</w:t>
            </w:r>
          </w:p>
        </w:tc>
        <w:tc>
          <w:tcPr>
            <w:tcW w:w="1975" w:type="pct"/>
            <w:tcBorders>
              <w:top w:val="single" w:color="FEFEFE" w:sz="12"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马克思主义产生的社会根源、阶级基础和思想渊源</w:t>
            </w:r>
          </w:p>
        </w:tc>
        <w:tc>
          <w:tcPr>
            <w:tcW w:w="1710" w:type="pct"/>
            <w:tcBorders>
              <w:top w:val="single" w:color="FEFEFE" w:sz="12"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2021-1；2020-1；2019-1；2018-1</w:t>
            </w:r>
          </w:p>
        </w:tc>
        <w:tc>
          <w:tcPr>
            <w:tcW w:w="346" w:type="pct"/>
            <w:tcBorders>
              <w:top w:val="single" w:color="FEFEFE" w:sz="12"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4</w:t>
            </w:r>
          </w:p>
        </w:tc>
        <w:tc>
          <w:tcPr>
            <w:tcW w:w="390" w:type="pct"/>
            <w:tcBorders>
              <w:top w:val="single" w:color="FEFEFE" w:sz="12"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576" w:type="pct"/>
            <w:vMerge w:val="restart"/>
            <w:tcBorders>
              <w:top w:val="nil"/>
              <w:left w:val="single" w:color="FEFEFE" w:sz="4" w:space="0"/>
              <w:bottom w:val="single" w:color="FEFEFE" w:sz="4" w:space="0"/>
              <w:right w:val="single" w:color="FEFEFE" w:sz="4" w:space="0"/>
            </w:tcBorders>
            <w:shd w:val="clear" w:color="auto" w:fill="A7A7A7"/>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第二章</w:t>
            </w:r>
          </w:p>
        </w:tc>
        <w:tc>
          <w:tcPr>
            <w:tcW w:w="1975"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物质的根本属性和物质运动存在形式</w:t>
            </w:r>
          </w:p>
        </w:tc>
        <w:tc>
          <w:tcPr>
            <w:tcW w:w="1710"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2021-17；2020-17；2016-18；2015-17；2015-18；2014-17；2013-1</w:t>
            </w:r>
          </w:p>
        </w:tc>
        <w:tc>
          <w:tcPr>
            <w:tcW w:w="346"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7</w:t>
            </w:r>
          </w:p>
        </w:tc>
        <w:tc>
          <w:tcPr>
            <w:tcW w:w="390"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6" w:type="pct"/>
            <w:vMerge w:val="continue"/>
            <w:tcBorders>
              <w:top w:val="nil"/>
              <w:left w:val="single" w:color="FEFEFE" w:sz="4" w:space="0"/>
              <w:bottom w:val="single" w:color="FEFEFE" w:sz="4" w:space="0"/>
              <w:right w:val="single" w:color="FEFEFE" w:sz="4" w:space="0"/>
            </w:tcBorders>
            <w:shd w:val="clear" w:color="auto" w:fill="A7A7A7"/>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975"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主观能动性和客观规律性的统一</w:t>
            </w:r>
          </w:p>
        </w:tc>
        <w:tc>
          <w:tcPr>
            <w:tcW w:w="1710"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2021-2；2019-18；2017-1；2014-2</w:t>
            </w:r>
          </w:p>
        </w:tc>
        <w:tc>
          <w:tcPr>
            <w:tcW w:w="346"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4</w:t>
            </w:r>
          </w:p>
        </w:tc>
        <w:tc>
          <w:tcPr>
            <w:tcW w:w="390"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576" w:type="pct"/>
            <w:vMerge w:val="continue"/>
            <w:tcBorders>
              <w:top w:val="nil"/>
              <w:left w:val="single" w:color="FEFEFE" w:sz="4" w:space="0"/>
              <w:bottom w:val="single" w:color="FEFEFE" w:sz="4" w:space="0"/>
              <w:right w:val="single" w:color="FEFEFE" w:sz="4" w:space="0"/>
            </w:tcBorders>
            <w:shd w:val="clear" w:color="auto" w:fill="A7A7A7"/>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975"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世界的物质统一性原理及其意义</w:t>
            </w:r>
          </w:p>
        </w:tc>
        <w:tc>
          <w:tcPr>
            <w:tcW w:w="1710"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2021-17；2020-17；2019-17；2018-17；2016-17</w:t>
            </w:r>
          </w:p>
        </w:tc>
        <w:tc>
          <w:tcPr>
            <w:tcW w:w="346"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5</w:t>
            </w:r>
          </w:p>
        </w:tc>
        <w:tc>
          <w:tcPr>
            <w:tcW w:w="390"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76" w:type="pct"/>
            <w:vMerge w:val="continue"/>
            <w:tcBorders>
              <w:top w:val="nil"/>
              <w:left w:val="single" w:color="FEFEFE" w:sz="4" w:space="0"/>
              <w:bottom w:val="single" w:color="FEFEFE" w:sz="4" w:space="0"/>
              <w:right w:val="single" w:color="FEFEFE" w:sz="4" w:space="0"/>
            </w:tcBorders>
            <w:shd w:val="clear" w:color="auto" w:fill="A7A7A7"/>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975"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量变质变规律和否定之否定规律</w:t>
            </w:r>
          </w:p>
        </w:tc>
        <w:tc>
          <w:tcPr>
            <w:tcW w:w="1710"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2016-1；2015-17；2015-18；2012-2</w:t>
            </w:r>
          </w:p>
        </w:tc>
        <w:tc>
          <w:tcPr>
            <w:tcW w:w="346"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4</w:t>
            </w:r>
          </w:p>
        </w:tc>
        <w:tc>
          <w:tcPr>
            <w:tcW w:w="390"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76" w:type="pct"/>
            <w:vMerge w:val="restart"/>
            <w:tcBorders>
              <w:top w:val="nil"/>
              <w:left w:val="single" w:color="FEFEFE" w:sz="4" w:space="0"/>
              <w:bottom w:val="single" w:color="FEFEFE" w:sz="4" w:space="0"/>
              <w:right w:val="single" w:color="FEFEFE" w:sz="4" w:space="0"/>
            </w:tcBorders>
            <w:shd w:val="clear" w:color="auto" w:fill="A7A7A7"/>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第四章</w:t>
            </w:r>
          </w:p>
        </w:tc>
        <w:tc>
          <w:tcPr>
            <w:tcW w:w="1975"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社会存在和社会意识及其辩证关系</w:t>
            </w:r>
          </w:p>
        </w:tc>
        <w:tc>
          <w:tcPr>
            <w:tcW w:w="1710"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2021-3；2020-19；2015-2</w:t>
            </w:r>
          </w:p>
        </w:tc>
        <w:tc>
          <w:tcPr>
            <w:tcW w:w="346"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3</w:t>
            </w:r>
          </w:p>
        </w:tc>
        <w:tc>
          <w:tcPr>
            <w:tcW w:w="390"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76" w:type="pct"/>
            <w:vMerge w:val="continue"/>
            <w:tcBorders>
              <w:top w:val="nil"/>
              <w:left w:val="single" w:color="FEFEFE" w:sz="4" w:space="0"/>
              <w:bottom w:val="single" w:color="FEFEFE" w:sz="4" w:space="0"/>
              <w:right w:val="single" w:color="FEFEFE" w:sz="4" w:space="0"/>
            </w:tcBorders>
            <w:shd w:val="clear" w:color="auto" w:fill="A7A7A7"/>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975" w:type="pct"/>
            <w:tcBorders>
              <w:top w:val="single" w:color="FEFEFE" w:sz="4" w:space="0"/>
              <w:left w:val="nil"/>
              <w:bottom w:val="single" w:color="FEFEFE" w:sz="8"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杰出人物的历史作用</w:t>
            </w:r>
          </w:p>
        </w:tc>
        <w:tc>
          <w:tcPr>
            <w:tcW w:w="1710" w:type="pct"/>
            <w:tcBorders>
              <w:top w:val="single" w:color="FEFEFE" w:sz="4" w:space="0"/>
              <w:left w:val="nil"/>
              <w:bottom w:val="single" w:color="FEFEFE" w:sz="8"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2018-18；2017-18；2015-19；2014-18</w:t>
            </w:r>
          </w:p>
        </w:tc>
        <w:tc>
          <w:tcPr>
            <w:tcW w:w="346" w:type="pct"/>
            <w:tcBorders>
              <w:top w:val="single" w:color="FEFEFE" w:sz="4" w:space="0"/>
              <w:left w:val="nil"/>
              <w:bottom w:val="single" w:color="FEFEFE" w:sz="8"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4</w:t>
            </w:r>
          </w:p>
        </w:tc>
        <w:tc>
          <w:tcPr>
            <w:tcW w:w="390" w:type="pct"/>
            <w:tcBorders>
              <w:top w:val="single" w:color="FEFEFE" w:sz="4" w:space="0"/>
              <w:left w:val="nil"/>
              <w:bottom w:val="single" w:color="FEFEFE" w:sz="8"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8</w:t>
            </w:r>
          </w:p>
        </w:tc>
      </w:tr>
    </w:tbl>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马政经部分：</w:t>
      </w: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82"/>
        <w:gridCol w:w="2790"/>
        <w:gridCol w:w="3512"/>
        <w:gridCol w:w="1425"/>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8" w:hRule="atLeast"/>
        </w:trPr>
        <w:tc>
          <w:tcPr>
            <w:tcW w:w="600" w:type="pct"/>
            <w:tcBorders>
              <w:top w:val="single" w:color="FEFEFE" w:sz="4" w:space="0"/>
              <w:left w:val="single" w:color="FEFEFE" w:sz="4" w:space="0"/>
              <w:bottom w:val="single" w:color="FEFEFE" w:sz="12" w:space="0"/>
              <w:right w:val="single" w:color="FEFEFE" w:sz="12" w:space="0"/>
            </w:tcBorders>
            <w:shd w:val="clear" w:color="auto" w:fill="A4A4A4"/>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章节</w:t>
            </w:r>
          </w:p>
        </w:tc>
        <w:tc>
          <w:tcPr>
            <w:tcW w:w="1306" w:type="pct"/>
            <w:tcBorders>
              <w:top w:val="single" w:color="FEFEFE" w:sz="4" w:space="0"/>
              <w:left w:val="nil"/>
              <w:bottom w:val="single" w:color="FEFEFE" w:sz="12" w:space="0"/>
              <w:right w:val="single" w:color="FEFEFE" w:sz="12" w:space="0"/>
            </w:tcBorders>
            <w:shd w:val="clear" w:color="auto" w:fill="A4A4A4"/>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考点</w:t>
            </w:r>
          </w:p>
        </w:tc>
        <w:tc>
          <w:tcPr>
            <w:tcW w:w="1644" w:type="pct"/>
            <w:tcBorders>
              <w:top w:val="single" w:color="FEFEFE" w:sz="4" w:space="0"/>
              <w:left w:val="nil"/>
              <w:bottom w:val="single" w:color="FEFEFE" w:sz="12" w:space="0"/>
              <w:right w:val="single" w:color="FEFEFE" w:sz="12" w:space="0"/>
            </w:tcBorders>
            <w:shd w:val="clear" w:color="auto" w:fill="A4A4A4"/>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考查年份</w:t>
            </w:r>
          </w:p>
        </w:tc>
        <w:tc>
          <w:tcPr>
            <w:tcW w:w="667" w:type="pct"/>
            <w:tcBorders>
              <w:top w:val="single" w:color="FEFEFE" w:sz="4" w:space="0"/>
              <w:left w:val="nil"/>
              <w:bottom w:val="single" w:color="FEFEFE" w:sz="12" w:space="0"/>
              <w:right w:val="single" w:color="FEFEFE" w:sz="12" w:space="0"/>
            </w:tcBorders>
            <w:shd w:val="clear" w:color="auto" w:fill="A4A4A4"/>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考频统计</w:t>
            </w:r>
          </w:p>
        </w:tc>
        <w:tc>
          <w:tcPr>
            <w:tcW w:w="782" w:type="pct"/>
            <w:tcBorders>
              <w:top w:val="single" w:color="FEFEFE" w:sz="4" w:space="0"/>
              <w:left w:val="nil"/>
              <w:bottom w:val="single" w:color="FEFEFE" w:sz="12" w:space="0"/>
              <w:right w:val="single" w:color="FEFEFE" w:sz="4" w:space="0"/>
            </w:tcBorders>
            <w:shd w:val="clear" w:color="auto" w:fill="A4A4A4"/>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考查分数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0" w:type="pct"/>
            <w:vMerge w:val="restart"/>
            <w:tcBorders>
              <w:top w:val="nil"/>
              <w:left w:val="single" w:color="FEFEFE" w:sz="4" w:space="0"/>
              <w:bottom w:val="single" w:color="FEFEFE" w:sz="4" w:space="0"/>
              <w:right w:val="single" w:color="FEFEFE" w:sz="4" w:space="0"/>
            </w:tcBorders>
            <w:shd w:val="clear" w:color="auto" w:fill="A7A7A7"/>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第五章</w:t>
            </w:r>
          </w:p>
        </w:tc>
        <w:tc>
          <w:tcPr>
            <w:tcW w:w="1306" w:type="pct"/>
            <w:tcBorders>
              <w:top w:val="single" w:color="FEFEFE" w:sz="12"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商品的二因素和生产商品的劳动的二重性</w:t>
            </w:r>
          </w:p>
        </w:tc>
        <w:tc>
          <w:tcPr>
            <w:tcW w:w="1644" w:type="pct"/>
            <w:tcBorders>
              <w:top w:val="single" w:color="FEFEFE" w:sz="12"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2021-19；2013-3；2012-19</w:t>
            </w:r>
          </w:p>
        </w:tc>
        <w:tc>
          <w:tcPr>
            <w:tcW w:w="667" w:type="pct"/>
            <w:tcBorders>
              <w:top w:val="single" w:color="FEFEFE" w:sz="12"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3</w:t>
            </w:r>
          </w:p>
        </w:tc>
        <w:tc>
          <w:tcPr>
            <w:tcW w:w="782" w:type="pct"/>
            <w:tcBorders>
              <w:top w:val="single" w:color="FEFEFE" w:sz="12"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600" w:type="pct"/>
            <w:vMerge w:val="continue"/>
            <w:tcBorders>
              <w:top w:val="nil"/>
              <w:left w:val="single" w:color="FEFEFE" w:sz="4" w:space="0"/>
              <w:bottom w:val="single" w:color="FEFEFE" w:sz="4" w:space="0"/>
              <w:right w:val="single" w:color="FEFEFE" w:sz="4" w:space="0"/>
            </w:tcBorders>
            <w:shd w:val="clear" w:color="auto" w:fill="A7A7A7"/>
            <w:vAlign w:val="center"/>
          </w:tcPr>
          <w:p>
            <w:pPr>
              <w:keepNext w:val="0"/>
              <w:keepLines w:val="0"/>
              <w:suppressLineNumbers w:val="0"/>
              <w:spacing w:before="0" w:beforeAutospacing="0" w:after="0" w:afterAutospacing="0"/>
              <w:ind w:left="0" w:right="0"/>
              <w:rPr>
                <w:rFonts w:hint="eastAsia" w:ascii="宋体" w:hAnsi="宋体" w:eastAsia="宋体" w:cs="宋体"/>
                <w:sz w:val="20"/>
                <w:szCs w:val="20"/>
              </w:rPr>
            </w:pPr>
          </w:p>
        </w:tc>
        <w:tc>
          <w:tcPr>
            <w:tcW w:w="1306"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资本有机构成</w:t>
            </w:r>
          </w:p>
        </w:tc>
        <w:tc>
          <w:tcPr>
            <w:tcW w:w="1644"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2021-20；2017-20；2015-3</w:t>
            </w:r>
          </w:p>
        </w:tc>
        <w:tc>
          <w:tcPr>
            <w:tcW w:w="667"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3</w:t>
            </w:r>
          </w:p>
        </w:tc>
        <w:tc>
          <w:tcPr>
            <w:tcW w:w="782"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600" w:type="pct"/>
            <w:tcBorders>
              <w:top w:val="single" w:color="FEFEFE" w:sz="4" w:space="0"/>
              <w:left w:val="single" w:color="FEFEFE" w:sz="4" w:space="0"/>
              <w:bottom w:val="single" w:color="FEFEFE" w:sz="4" w:space="0"/>
              <w:right w:val="single" w:color="FEFEFE" w:sz="4" w:space="0"/>
            </w:tcBorders>
            <w:shd w:val="clear" w:color="auto" w:fill="A7A7A7"/>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lang w:val="en-US" w:eastAsia="zh-CN" w:bidi="ar"/>
              </w:rPr>
              <w:t>第六章</w:t>
            </w:r>
          </w:p>
        </w:tc>
        <w:tc>
          <w:tcPr>
            <w:tcW w:w="1306"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第二次世界大战后资本主义经济政治新变化的表现和特点</w:t>
            </w:r>
          </w:p>
        </w:tc>
        <w:tc>
          <w:tcPr>
            <w:tcW w:w="1644"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2018-20；2017-4；2014-20；2013-20</w:t>
            </w:r>
          </w:p>
        </w:tc>
        <w:tc>
          <w:tcPr>
            <w:tcW w:w="667"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4</w:t>
            </w:r>
          </w:p>
        </w:tc>
        <w:tc>
          <w:tcPr>
            <w:tcW w:w="782" w:type="pct"/>
            <w:tcBorders>
              <w:top w:val="single" w:color="FEFEFE" w:sz="4" w:space="0"/>
              <w:left w:val="nil"/>
              <w:bottom w:val="single" w:color="FEFEFE" w:sz="4" w:space="0"/>
              <w:right w:val="single" w:color="FEFEFE" w:sz="4" w:space="0"/>
            </w:tcBorders>
            <w:shd w:val="clear" w:color="auto" w:fill="F2F2F2"/>
            <w:vAlign w:val="center"/>
          </w:tcPr>
          <w:p>
            <w:pPr>
              <w:keepNext w:val="0"/>
              <w:keepLines w:val="0"/>
              <w:widowControl w:val="0"/>
              <w:suppressLineNumbers w:val="0"/>
              <w:spacing w:before="0" w:beforeAutospacing="0" w:after="0" w:afterAutospacing="0" w:line="360" w:lineRule="atLeast"/>
              <w:ind w:left="0" w:right="0"/>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
              </w:rPr>
              <w:t>7</w:t>
            </w: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p>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double" w:color="auto" w:sz="8"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B23CE"/>
    <w:rsid w:val="10396397"/>
    <w:rsid w:val="10CA533B"/>
    <w:rsid w:val="19CA3D2C"/>
    <w:rsid w:val="233F08C8"/>
    <w:rsid w:val="480C715C"/>
    <w:rsid w:val="53505F28"/>
    <w:rsid w:val="5E6B23CE"/>
    <w:rsid w:val="61092CF4"/>
    <w:rsid w:val="65AF17D4"/>
    <w:rsid w:val="710F28FD"/>
    <w:rsid w:val="75AB0576"/>
    <w:rsid w:val="DFEEB2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2021-09-14T22:45:00Z</dcterms:created>
  <dc:creator>rock滴窝窝</dc:creator>
  <cp:lastModifiedBy>命运G</cp:lastModifiedBy>
  <dcterms:modified xsi:type="dcterms:W3CDTF">2021-09-15T07:06:48Z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975CFDB5A68145DC8C265E1DDA4AB893</vt:lpwstr>
  </property>
</Properties>
</file>