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哈尔滨工业大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学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2021年硕士研究生招生考试复试基本线</w:t>
      </w:r>
    </w:p>
    <w:bookmarkEnd w:id="0"/>
    <w:tbl>
      <w:tblPr>
        <w:tblW w:w="766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3137"/>
        <w:gridCol w:w="1568"/>
        <w:gridCol w:w="528"/>
        <w:gridCol w:w="420"/>
        <w:gridCol w:w="516"/>
        <w:gridCol w:w="575"/>
        <w:gridCol w:w="4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10"/>
                <w:rFonts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代码及名称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10"/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总分</w:t>
            </w:r>
          </w:p>
        </w:tc>
        <w:tc>
          <w:tcPr>
            <w:tcW w:w="4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10"/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3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10"/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外语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10"/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业务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10"/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课一</w:t>
            </w:r>
          </w:p>
        </w:tc>
        <w:tc>
          <w:tcPr>
            <w:tcW w:w="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10"/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业务课二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学术学位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[01]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哲学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320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55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90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[02]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经济学、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[12]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管理学、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[1305]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设计学（数字媒体艺术方向）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350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60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90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[03]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法学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330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55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90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[0502]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外国语言文学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370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60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90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[07]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理学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300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75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[08]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工学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（不含工学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中的学科）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320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80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[08]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工学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（力学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[0801]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、动力工程及工程热物理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[0807]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、船舶与海洋工程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[0824]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、航空宇航科学与技术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[0825]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310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80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专业学位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 </w:t>
            </w: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[0251]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金融硕士、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[0252]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应用统计硕士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350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60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90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[0352]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社会工作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330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55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90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[0551]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翻译硕士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370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60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90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[0851]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建筑学、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[0853]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城市规划、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[0854]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电子信息、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[0855]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机械（不含空天力学专业领域和航空航天工程专业领域）、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[0856]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材料与化工、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[0857]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资源与环境、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[0858]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能源动力（电气工程专业领域）、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[0859]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土木水利、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[0860]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生物与医药、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[0861]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交通运输、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[0953]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风景园林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320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80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[0855]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机械（空天力学专业领域、航空航天工程专业领域）、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[0858]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能源动力（不含电气工程专业领域）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310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80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[1251]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工商管理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170</w:t>
            </w:r>
          </w:p>
        </w:tc>
        <w:tc>
          <w:tcPr>
            <w:tcW w:w="195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外语：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42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、综合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[1252]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公共管理、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[1256]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工程管理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174</w:t>
            </w:r>
          </w:p>
        </w:tc>
        <w:tc>
          <w:tcPr>
            <w:tcW w:w="195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外语：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43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、综合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4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[1253]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会计硕士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179</w:t>
            </w:r>
          </w:p>
        </w:tc>
        <w:tc>
          <w:tcPr>
            <w:tcW w:w="195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外语：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46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、综合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51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单独考试（建筑学领域）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320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80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51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单独考试（其他学科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领域）、强军计划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263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56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  <w:bdr w:val="none" w:color="auto" w:sz="0" w:space="0"/>
                <w:lang w:val="en-US"/>
              </w:rPr>
              <w:t>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36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333333"/>
                <w:sz w:val="19"/>
                <w:szCs w:val="19"/>
                <w:bdr w:val="none" w:color="auto" w:sz="0" w:space="0"/>
              </w:rPr>
              <w:t>少数民族高层次人才骨干计划、退役大学生士兵计划</w:t>
            </w:r>
          </w:p>
        </w:tc>
        <w:tc>
          <w:tcPr>
            <w:tcW w:w="404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0" w:space="0"/>
              </w:rPr>
              <w:t>在相应学科普通复试资格线总分基础上降低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bdr w:val="none" w:color="auto" w:sz="0" w:space="0"/>
              </w:rPr>
              <w:t>分。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相关说明：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192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</w:t>
      </w:r>
      <w:r>
        <w:rPr>
          <w:rFonts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）学校复试基本线是我校的最低复试分数要求，各学科应在学校复试基本线的基础上，根据生源的实际情况确定本学科的复试资格线。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192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）我校复试拟采取网络远程考核方式，相关复试工作安排另行通知。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192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）工作单位和户籍在国务院公布的民族区域自治地方，且定向就业单位为原单位的少数民族在职人员考生，可按规定享受少数民族照顾政策。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192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）参加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“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大学生志愿服务西部计划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”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“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三支一扶计划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”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“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农村义务教育阶段学校教师特设岗位计划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”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“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赴外汉语教师志愿者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”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“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高校学生应征入伍服义务兵役退役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”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、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“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选聘高校毕业生到村任职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”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等项目服务期满并符合考核规定条件，可根据教育部统一规定享受一定加分政策。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192"/>
        <w:rPr>
          <w:rFonts w:hint="eastAsia" w:ascii="微软雅黑" w:hAnsi="微软雅黑" w:eastAsia="微软雅黑" w:cs="微软雅黑"/>
          <w:caps w:val="0"/>
          <w:color w:val="333333"/>
          <w:spacing w:val="0"/>
          <w:sz w:val="19"/>
          <w:szCs w:val="19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）符合以上照顾和加分政策的考生应及时联系我校研招办，在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2021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19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  <w:lang w:val="en-US"/>
        </w:rPr>
        <w:t>17:00</w:t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前，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  <w:lang w:val="en-US"/>
        </w:rPr>
        <w:fldChar w:fldCharType="begin"/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  <w:lang w:val="en-US"/>
        </w:rPr>
        <w:instrText xml:space="preserve"> HYPERLINK "mailto:%E5%B0%86%E4%B9%A6%E9%9D%A2%E7%94%B3%E8%AF%B7%E6%9D%90%E6%96%99%E5%8F%91%E8%87%B3hityzb@126.com" </w:instrTex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  <w:lang w:val="en-US"/>
        </w:rPr>
        <w:fldChar w:fldCharType="separate"/>
      </w:r>
      <w:r>
        <w:rPr>
          <w:rStyle w:val="15"/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  <w:lang w:val="en-US"/>
        </w:rPr>
        <w:t>将书面申请材料发至</w:t>
      </w:r>
      <w:r>
        <w:rPr>
          <w:rStyle w:val="15"/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  <w:lang w:val="en-US"/>
        </w:rPr>
        <w:t>hityzb@126.com</w:t>
      </w:r>
      <w:r>
        <w:rPr>
          <w:rFonts w:hint="default" w:ascii="Times New Roman" w:hAnsi="Times New Roman" w:eastAsia="微软雅黑" w:cs="Times New Roman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  <w:lang w:val="en-US"/>
        </w:rPr>
        <w:fldChar w:fldCharType="end"/>
      </w:r>
      <w:r>
        <w:rPr>
          <w:rFonts w:hint="eastAsia" w:ascii="仿宋" w:hAnsi="仿宋" w:eastAsia="仿宋" w:cs="仿宋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。逾期不予受理。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x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emif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at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m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F5050"/>
    <w:rsid w:val="03E4112C"/>
    <w:rsid w:val="093F5050"/>
    <w:rsid w:val="0CC576FF"/>
    <w:rsid w:val="11D17B71"/>
    <w:rsid w:val="194171BA"/>
    <w:rsid w:val="1FD34189"/>
    <w:rsid w:val="212E7C2A"/>
    <w:rsid w:val="37AE291A"/>
    <w:rsid w:val="393E7104"/>
    <w:rsid w:val="433C70F8"/>
    <w:rsid w:val="66CC6B69"/>
    <w:rsid w:val="6FF7250C"/>
    <w:rsid w:val="749E30F6"/>
    <w:rsid w:val="7DE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1" w:line="14" w:lineRule="atLeast"/>
      <w:jc w:val="left"/>
    </w:pPr>
    <w:rPr>
      <w:rFonts w:ascii="sans-serif" w:hAnsi="sans-serif" w:eastAsia="sans-serif" w:cs="sans-serif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0" w:after="0" w:afterAutospacing="1" w:line="14" w:lineRule="atLeast"/>
      <w:jc w:val="left"/>
    </w:pPr>
    <w:rPr>
      <w:rFonts w:ascii="sans-serif" w:hAnsi="sans-serif" w:eastAsia="sans-serif" w:cs="sans-serif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uiPriority w:val="0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uiPriority w:val="0"/>
    <w:rPr>
      <w:color w:val="2D2E2E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uiPriority w:val="0"/>
  </w:style>
  <w:style w:type="character" w:styleId="14">
    <w:name w:val="HTML Variable"/>
    <w:basedOn w:val="9"/>
    <w:uiPriority w:val="0"/>
  </w:style>
  <w:style w:type="character" w:styleId="15">
    <w:name w:val="Hyperlink"/>
    <w:basedOn w:val="9"/>
    <w:uiPriority w:val="0"/>
    <w:rPr>
      <w:color w:val="2D2E2E"/>
      <w:u w:val="none"/>
    </w:rPr>
  </w:style>
  <w:style w:type="character" w:styleId="16">
    <w:name w:val="HTML Code"/>
    <w:basedOn w:val="9"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17">
    <w:name w:val="HTML Cite"/>
    <w:basedOn w:val="9"/>
    <w:uiPriority w:val="0"/>
  </w:style>
  <w:style w:type="character" w:styleId="18">
    <w:name w:val="HTML Keyboard"/>
    <w:basedOn w:val="9"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9">
    <w:name w:val="HTML Sample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0">
    <w:name w:val="after"/>
    <w:basedOn w:val="9"/>
    <w:uiPriority w:val="0"/>
    <w:rPr>
      <w:bdr w:val="single" w:color="FFFFFF" w:sz="4" w:space="0"/>
    </w:rPr>
  </w:style>
  <w:style w:type="character" w:customStyle="1" w:styleId="21">
    <w:name w:val="dolar"/>
    <w:basedOn w:val="9"/>
    <w:uiPriority w:val="0"/>
    <w:rPr>
      <w:color w:val="999999"/>
      <w:sz w:val="28"/>
      <w:szCs w:val="28"/>
    </w:rPr>
  </w:style>
  <w:style w:type="character" w:customStyle="1" w:styleId="22">
    <w:name w:val="last-child"/>
    <w:basedOn w:val="9"/>
    <w:uiPriority w:val="0"/>
  </w:style>
  <w:style w:type="character" w:customStyle="1" w:styleId="23">
    <w:name w:val="users"/>
    <w:basedOn w:val="9"/>
    <w:uiPriority w:val="0"/>
    <w:rPr>
      <w:b/>
      <w:bCs/>
      <w:caps/>
      <w:color w:val="1067DB"/>
      <w:sz w:val="15"/>
      <w:szCs w:val="15"/>
    </w:rPr>
  </w:style>
  <w:style w:type="character" w:customStyle="1" w:styleId="24">
    <w:name w:val="before1"/>
    <w:basedOn w:val="9"/>
    <w:uiPriority w:val="0"/>
    <w:rPr>
      <w:bdr w:val="single" w:color="FFFFFF" w:sz="4" w:space="0"/>
    </w:rPr>
  </w:style>
  <w:style w:type="character" w:customStyle="1" w:styleId="25">
    <w:name w:val="before"/>
    <w:basedOn w:val="9"/>
    <w:uiPriority w:val="0"/>
    <w:rPr>
      <w:bdr w:val="single" w:color="FFFFFF" w:sz="4" w:space="0"/>
    </w:rPr>
  </w:style>
  <w:style w:type="character" w:customStyle="1" w:styleId="26">
    <w:name w:val="csc-uploads-filename"/>
    <w:basedOn w:val="9"/>
    <w:uiPriority w:val="0"/>
    <w:rPr>
      <w:u w:val="single"/>
    </w:rPr>
  </w:style>
  <w:style w:type="paragraph" w:styleId="2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9">
    <w:name w:val="blue"/>
    <w:basedOn w:val="9"/>
    <w:uiPriority w:val="0"/>
    <w:rPr>
      <w:color w:val="0073BD"/>
    </w:rPr>
  </w:style>
  <w:style w:type="character" w:customStyle="1" w:styleId="30">
    <w:name w:val="blue1"/>
    <w:basedOn w:val="9"/>
    <w:uiPriority w:val="0"/>
    <w:rPr>
      <w:color w:val="0073BD"/>
    </w:rPr>
  </w:style>
  <w:style w:type="character" w:customStyle="1" w:styleId="31">
    <w:name w:val="pubdate-month"/>
    <w:basedOn w:val="9"/>
    <w:uiPriority w:val="0"/>
    <w:rPr>
      <w:color w:val="FFFFFF"/>
      <w:sz w:val="19"/>
      <w:szCs w:val="19"/>
      <w:shd w:val="clear" w:fill="CC0000"/>
    </w:rPr>
  </w:style>
  <w:style w:type="character" w:customStyle="1" w:styleId="32">
    <w:name w:val="pubdate-day"/>
    <w:basedOn w:val="9"/>
    <w:uiPriority w:val="0"/>
    <w:rPr>
      <w:shd w:val="clear" w:fill="F2F2F2"/>
    </w:rPr>
  </w:style>
  <w:style w:type="character" w:customStyle="1" w:styleId="33">
    <w:name w:val="xubox_tabnow"/>
    <w:basedOn w:val="9"/>
    <w:uiPriority w:val="0"/>
    <w:rPr>
      <w:bdr w:val="single" w:color="CCCCCC" w:sz="4" w:space="0"/>
      <w:shd w:val="clear" w:fill="FFFFFF"/>
    </w:rPr>
  </w:style>
  <w:style w:type="character" w:customStyle="1" w:styleId="34">
    <w:name w:val="column-name12"/>
    <w:basedOn w:val="9"/>
    <w:uiPriority w:val="0"/>
    <w:rPr>
      <w:color w:val="124D83"/>
    </w:rPr>
  </w:style>
  <w:style w:type="character" w:customStyle="1" w:styleId="35">
    <w:name w:val="column-name13"/>
    <w:basedOn w:val="9"/>
    <w:uiPriority w:val="0"/>
    <w:rPr>
      <w:color w:val="124D83"/>
    </w:rPr>
  </w:style>
  <w:style w:type="character" w:customStyle="1" w:styleId="36">
    <w:name w:val="column-name14"/>
    <w:basedOn w:val="9"/>
    <w:uiPriority w:val="0"/>
    <w:rPr>
      <w:color w:val="124D83"/>
    </w:rPr>
  </w:style>
  <w:style w:type="character" w:customStyle="1" w:styleId="37">
    <w:name w:val="column-name15"/>
    <w:basedOn w:val="9"/>
    <w:uiPriority w:val="0"/>
    <w:rPr>
      <w:color w:val="124D83"/>
    </w:rPr>
  </w:style>
  <w:style w:type="character" w:customStyle="1" w:styleId="38">
    <w:name w:val="column-name16"/>
    <w:basedOn w:val="9"/>
    <w:uiPriority w:val="0"/>
    <w:rPr>
      <w:color w:val="124D83"/>
    </w:rPr>
  </w:style>
  <w:style w:type="character" w:customStyle="1" w:styleId="39">
    <w:name w:val="news_title2"/>
    <w:basedOn w:val="9"/>
    <w:uiPriority w:val="0"/>
  </w:style>
  <w:style w:type="character" w:customStyle="1" w:styleId="40">
    <w:name w:val="news_meta"/>
    <w:basedOn w:val="9"/>
    <w:uiPriority w:val="0"/>
  </w:style>
  <w:style w:type="character" w:customStyle="1" w:styleId="41">
    <w:name w:val="item-name"/>
    <w:basedOn w:val="9"/>
    <w:uiPriority w:val="0"/>
    <w:rPr>
      <w:bdr w:val="none" w:color="auto" w:sz="0" w:space="0"/>
    </w:rPr>
  </w:style>
  <w:style w:type="character" w:customStyle="1" w:styleId="42">
    <w:name w:val="item-name1"/>
    <w:basedOn w:val="9"/>
    <w:uiPriority w:val="0"/>
    <w:rPr>
      <w:bdr w:val="none" w:color="auto" w:sz="0" w:space="0"/>
    </w:rPr>
  </w:style>
  <w:style w:type="character" w:customStyle="1" w:styleId="43">
    <w:name w:val="item-name2"/>
    <w:basedOn w:val="9"/>
    <w:uiPriority w:val="0"/>
    <w:rPr>
      <w:bdr w:val="none" w:color="auto" w:sz="0" w:space="0"/>
    </w:rPr>
  </w:style>
  <w:style w:type="character" w:customStyle="1" w:styleId="44">
    <w:name w:val="item-name3"/>
    <w:basedOn w:val="9"/>
    <w:uiPriority w:val="0"/>
    <w:rPr>
      <w:bdr w:val="none" w:color="auto" w:sz="0" w:space="0"/>
    </w:rPr>
  </w:style>
  <w:style w:type="character" w:customStyle="1" w:styleId="45">
    <w:name w:val="news_titl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2021-03-16T01:42:00Z</dcterms:created>
  <dc:creator>简简单单就好</dc:creator>
  <cp:lastModifiedBy>简简单单就好</cp:lastModifiedBy>
  <dcterms:modified xsi:type="dcterms:W3CDTF">2021-03-16T08:39:23Z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AD9770E9F1374B0FA56300E85B241360</vt:lpwstr>
  </property>
</Properties>
</file>