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pPr>
      <w:bookmarkStart w:id="0" w:name="_GoBack"/>
      <w:r>
        <w:rPr>
          <w:rFonts w:hint="eastAsia"/>
        </w:rPr>
        <w:t>北京师范大学2021考研复试基本分数线</w:t>
      </w:r>
    </w:p>
    <w:bookmarkEnd w:id="0"/>
    <w:p>
      <w:pPr>
        <w:pStyle w:val="7"/>
        <w:keepNext w:val="0"/>
        <w:keepLines w:val="0"/>
        <w:widowControl/>
        <w:suppressLineNumbers w:val="0"/>
        <w:jc w:val="left"/>
        <w:rPr>
          <w:sz w:val="20"/>
          <w:szCs w:val="20"/>
        </w:rPr>
      </w:pPr>
      <w:r>
        <w:rPr>
          <w:sz w:val="20"/>
          <w:szCs w:val="20"/>
        </w:rPr>
        <w:t>　　说明：此复试基本分数线只是我校复试的最低分数要求，接受报考的学部院系可根据整体考试情况、招生计划、学科专业特点等，上调分数要求。考生须同时达到学校复试基本分数线和报考学部院系调整设定的复试分数线，才有资格参加复试。学部院系调整设定的复试分数线和复试办法，另行通知。</w:t>
      </w:r>
    </w:p>
    <w:p>
      <w:pPr>
        <w:pStyle w:val="7"/>
        <w:keepNext w:val="0"/>
        <w:keepLines w:val="0"/>
        <w:widowControl/>
        <w:suppressLineNumbers w:val="0"/>
        <w:jc w:val="left"/>
        <w:rPr>
          <w:sz w:val="20"/>
          <w:szCs w:val="20"/>
        </w:rPr>
      </w:pPr>
      <w:r>
        <w:rPr>
          <w:sz w:val="20"/>
          <w:szCs w:val="20"/>
        </w:rPr>
        <w:t>　　一、学校复试基本分数线(学术学位类)</w:t>
      </w:r>
    </w:p>
    <w:tbl>
      <w:tblPr>
        <w:tblW w:w="668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604"/>
        <w:gridCol w:w="876"/>
        <w:gridCol w:w="792"/>
        <w:gridCol w:w="768"/>
        <w:gridCol w:w="768"/>
        <w:gridCol w:w="8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ascii="仿宋_GB2312" w:eastAsia="仿宋_GB2312" w:cs="仿宋_GB2312"/>
                <w:b/>
                <w:bCs/>
                <w:sz w:val="24"/>
                <w:szCs w:val="24"/>
              </w:rPr>
              <w:t>报考学科门类</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b/>
                <w:bCs/>
                <w:sz w:val="24"/>
                <w:szCs w:val="24"/>
              </w:rPr>
              <w:t>政治</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外国语</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业务一</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b/>
                <w:bCs/>
                <w:sz w:val="24"/>
                <w:szCs w:val="24"/>
              </w:rPr>
              <w:t>业务二</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总分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[01]哲学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[02]经济学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[03]法学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[04]教育学（不含体育学）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180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[05]文学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[06]历史学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180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[07]理学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48</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48</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70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[08]工学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48</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48</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70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[12]管理学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[13]艺术学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c>
          <w:tcPr>
            <w:tcW w:w="2604"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[0403]体育学</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180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350</w:t>
            </w:r>
          </w:p>
        </w:tc>
      </w:tr>
    </w:tbl>
    <w:p>
      <w:pPr>
        <w:pStyle w:val="7"/>
        <w:keepNext w:val="0"/>
        <w:keepLines w:val="0"/>
        <w:widowControl/>
        <w:suppressLineNumbers w:val="0"/>
        <w:rPr>
          <w:sz w:val="24"/>
          <w:szCs w:val="24"/>
        </w:rPr>
      </w:pPr>
      <w:r>
        <w:rPr>
          <w:sz w:val="13"/>
          <w:szCs w:val="13"/>
        </w:rPr>
        <w:t>　　</w:t>
      </w:r>
      <w:r>
        <w:rPr>
          <w:sz w:val="20"/>
          <w:szCs w:val="20"/>
        </w:rPr>
        <w:t>二、学校复试基本分数线(专业学位类)</w:t>
      </w:r>
    </w:p>
    <w:tbl>
      <w:tblPr>
        <w:tblW w:w="705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208"/>
        <w:gridCol w:w="1020"/>
        <w:gridCol w:w="792"/>
        <w:gridCol w:w="792"/>
        <w:gridCol w:w="792"/>
        <w:gridCol w:w="145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b/>
                <w:bCs/>
                <w:sz w:val="24"/>
                <w:szCs w:val="24"/>
              </w:rPr>
              <w:t>专业学位类型</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b/>
                <w:bCs/>
                <w:sz w:val="24"/>
                <w:szCs w:val="24"/>
              </w:rPr>
              <w:t>政 治</w:t>
            </w:r>
          </w:p>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b/>
                <w:bCs/>
                <w:sz w:val="24"/>
                <w:szCs w:val="24"/>
              </w:rPr>
              <w:t>或综合</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b/>
                <w:bCs/>
                <w:sz w:val="24"/>
                <w:szCs w:val="24"/>
              </w:rPr>
              <w:t>外语</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b/>
                <w:bCs/>
                <w:sz w:val="24"/>
                <w:szCs w:val="24"/>
              </w:rPr>
              <w:t>业务一</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b/>
                <w:bCs/>
                <w:sz w:val="24"/>
                <w:szCs w:val="24"/>
              </w:rPr>
              <w:t>业务二</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b/>
                <w:bCs/>
                <w:sz w:val="24"/>
                <w:szCs w:val="24"/>
              </w:rPr>
              <w:t>总分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[0251]金融</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[0252]应用统计</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[0254]国际商务</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[0351]法律</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[0352]社会工作</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[0451]教育</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70</w:t>
            </w:r>
          </w:p>
        </w:tc>
        <w:tc>
          <w:tcPr>
            <w:tcW w:w="7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70</w:t>
            </w:r>
          </w:p>
        </w:tc>
        <w:tc>
          <w:tcPr>
            <w:tcW w:w="14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[0452]体育</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180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[0453]汉语国际教育</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[0454]应用心理</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180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[0551]翻译</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75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[0552]新闻与传播</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[1251]工商管理</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45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173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[1252]公共管理</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45</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180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[1253]会计</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120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60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230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[135104]电影</w:t>
            </w:r>
          </w:p>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[135105]广播电视</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50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90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08"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[135101]音乐</w:t>
            </w:r>
          </w:p>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[135106]舞蹈</w:t>
            </w:r>
          </w:p>
          <w:p>
            <w:pPr>
              <w:pStyle w:val="7"/>
              <w:keepNext w:val="0"/>
              <w:keepLines w:val="0"/>
              <w:widowControl/>
              <w:suppressLineNumbers w:val="0"/>
              <w:spacing w:before="0" w:beforeAutospacing="0" w:after="120" w:afterAutospacing="0"/>
              <w:ind w:left="0" w:right="0" w:firstLine="120"/>
              <w:rPr>
                <w:sz w:val="24"/>
                <w:szCs w:val="24"/>
              </w:rPr>
            </w:pPr>
            <w:r>
              <w:rPr>
                <w:rFonts w:hint="default" w:ascii="仿宋_GB2312" w:eastAsia="仿宋_GB2312" w:cs="仿宋_GB2312"/>
                <w:sz w:val="24"/>
                <w:szCs w:val="24"/>
              </w:rPr>
              <w:t>[135107]美术</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40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40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70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70</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firstLine="120"/>
              <w:jc w:val="center"/>
              <w:rPr>
                <w:sz w:val="24"/>
                <w:szCs w:val="24"/>
              </w:rPr>
            </w:pPr>
            <w:r>
              <w:rPr>
                <w:rFonts w:hint="default" w:ascii="仿宋_GB2312" w:eastAsia="仿宋_GB2312" w:cs="仿宋_GB2312"/>
                <w:sz w:val="24"/>
                <w:szCs w:val="24"/>
              </w:rPr>
              <w:t>320</w:t>
            </w:r>
          </w:p>
        </w:tc>
      </w:tr>
    </w:tbl>
    <w:p>
      <w:pPr>
        <w:pStyle w:val="7"/>
        <w:keepNext w:val="0"/>
        <w:keepLines w:val="0"/>
        <w:widowControl/>
        <w:suppressLineNumbers w:val="0"/>
        <w:rPr>
          <w:sz w:val="24"/>
          <w:szCs w:val="24"/>
        </w:rPr>
      </w:pPr>
      <w:r>
        <w:rPr>
          <w:sz w:val="13"/>
          <w:szCs w:val="13"/>
        </w:rPr>
        <w:t>　　</w:t>
      </w:r>
      <w:r>
        <w:rPr>
          <w:sz w:val="20"/>
          <w:szCs w:val="20"/>
        </w:rPr>
        <w:t>三、少数民族高层次骨干人才计划复试分数线</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772"/>
        <w:gridCol w:w="385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77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类别</w:t>
            </w:r>
          </w:p>
        </w:tc>
        <w:tc>
          <w:tcPr>
            <w:tcW w:w="38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初试成绩基本要求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277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少数民族高层次骨干人才计划（公共管理定向新疆班）</w:t>
            </w:r>
          </w:p>
        </w:tc>
        <w:tc>
          <w:tcPr>
            <w:tcW w:w="38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总分不低于140分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277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少数民族高层次骨干人才计划（不含公共管理定向新疆班）</w:t>
            </w:r>
          </w:p>
        </w:tc>
        <w:tc>
          <w:tcPr>
            <w:tcW w:w="38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定向就业单位在西藏自治区的考生，满分为500分的总分不低于290分，满分为300分的总分不低于180分，其他省份考生总分不低于310分</w:t>
            </w:r>
          </w:p>
        </w:tc>
      </w:tr>
    </w:tbl>
    <w:p>
      <w:pPr>
        <w:pStyle w:val="7"/>
        <w:keepNext w:val="0"/>
        <w:keepLines w:val="0"/>
        <w:widowControl/>
        <w:suppressLineNumbers w:val="0"/>
        <w:jc w:val="left"/>
        <w:rPr>
          <w:sz w:val="20"/>
          <w:szCs w:val="20"/>
        </w:rPr>
      </w:pPr>
      <w:r>
        <w:rPr>
          <w:sz w:val="20"/>
          <w:szCs w:val="20"/>
        </w:rPr>
        <w:t>　　四、援藏计划复试分数线</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292"/>
        <w:gridCol w:w="2352"/>
        <w:gridCol w:w="193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c>
          <w:tcPr>
            <w:tcW w:w="22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color w:val="000000"/>
                <w:sz w:val="24"/>
                <w:szCs w:val="24"/>
              </w:rPr>
              <w:t>报考学部（院、系）</w:t>
            </w:r>
          </w:p>
        </w:tc>
        <w:tc>
          <w:tcPr>
            <w:tcW w:w="23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color w:val="000000"/>
                <w:sz w:val="24"/>
                <w:szCs w:val="24"/>
              </w:rPr>
              <w:t>报考专业</w:t>
            </w:r>
          </w:p>
        </w:tc>
        <w:tc>
          <w:tcPr>
            <w:tcW w:w="19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color w:val="000000"/>
                <w:sz w:val="24"/>
                <w:szCs w:val="24"/>
              </w:rPr>
              <w:t>总分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22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003马克思主义学院</w:t>
            </w:r>
          </w:p>
        </w:tc>
        <w:tc>
          <w:tcPr>
            <w:tcW w:w="23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030505思想政治教育</w:t>
            </w:r>
          </w:p>
        </w:tc>
        <w:tc>
          <w:tcPr>
            <w:tcW w:w="19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340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22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004教育学部</w:t>
            </w:r>
          </w:p>
        </w:tc>
        <w:tc>
          <w:tcPr>
            <w:tcW w:w="23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040101教育学原理</w:t>
            </w:r>
          </w:p>
        </w:tc>
        <w:tc>
          <w:tcPr>
            <w:tcW w:w="19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245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22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004教育学部</w:t>
            </w:r>
          </w:p>
        </w:tc>
        <w:tc>
          <w:tcPr>
            <w:tcW w:w="23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040102课程与教学论</w:t>
            </w:r>
          </w:p>
        </w:tc>
        <w:tc>
          <w:tcPr>
            <w:tcW w:w="19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245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22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004教育学部</w:t>
            </w:r>
          </w:p>
        </w:tc>
        <w:tc>
          <w:tcPr>
            <w:tcW w:w="23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040105学前教育学</w:t>
            </w:r>
          </w:p>
        </w:tc>
        <w:tc>
          <w:tcPr>
            <w:tcW w:w="19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245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22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004教育学部</w:t>
            </w:r>
          </w:p>
        </w:tc>
        <w:tc>
          <w:tcPr>
            <w:tcW w:w="235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040106高等教育学</w:t>
            </w:r>
          </w:p>
        </w:tc>
        <w:tc>
          <w:tcPr>
            <w:tcW w:w="193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245</w:t>
            </w:r>
          </w:p>
        </w:tc>
      </w:tr>
    </w:tbl>
    <w:p>
      <w:pPr>
        <w:pStyle w:val="7"/>
        <w:keepNext w:val="0"/>
        <w:keepLines w:val="0"/>
        <w:widowControl/>
        <w:suppressLineNumbers w:val="0"/>
        <w:rPr>
          <w:sz w:val="24"/>
          <w:szCs w:val="24"/>
        </w:rPr>
      </w:pPr>
      <w:r>
        <w:rPr>
          <w:sz w:val="13"/>
          <w:szCs w:val="13"/>
        </w:rPr>
        <w:t>　</w:t>
      </w:r>
      <w:r>
        <w:rPr>
          <w:sz w:val="20"/>
          <w:szCs w:val="20"/>
        </w:rPr>
        <w:t>　五、单独考试复试分数线</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496"/>
        <w:gridCol w:w="912"/>
        <w:gridCol w:w="792"/>
        <w:gridCol w:w="792"/>
        <w:gridCol w:w="792"/>
        <w:gridCol w:w="7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2496"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报考学部（院、系）</w:t>
            </w:r>
          </w:p>
        </w:tc>
        <w:tc>
          <w:tcPr>
            <w:tcW w:w="91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政治</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外语</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业务一</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业务二</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b/>
                <w:bCs/>
                <w:sz w:val="24"/>
                <w:szCs w:val="24"/>
              </w:rPr>
              <w:t>总分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2496"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rPr>
                <w:sz w:val="24"/>
                <w:szCs w:val="24"/>
              </w:rPr>
            </w:pPr>
            <w:r>
              <w:rPr>
                <w:rFonts w:hint="default" w:ascii="仿宋_GB2312" w:eastAsia="仿宋_GB2312" w:cs="仿宋_GB2312"/>
                <w:sz w:val="24"/>
                <w:szCs w:val="24"/>
              </w:rPr>
              <w:t>010文学院</w:t>
            </w:r>
          </w:p>
        </w:tc>
        <w:tc>
          <w:tcPr>
            <w:tcW w:w="91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30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30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90</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spacing w:before="0" w:beforeAutospacing="0" w:after="120" w:afterAutospacing="0"/>
              <w:ind w:left="0" w:right="0"/>
              <w:jc w:val="center"/>
              <w:rPr>
                <w:sz w:val="24"/>
                <w:szCs w:val="24"/>
              </w:rPr>
            </w:pPr>
            <w:r>
              <w:rPr>
                <w:rFonts w:hint="default" w:ascii="仿宋_GB2312" w:eastAsia="仿宋_GB2312" w:cs="仿宋_GB2312"/>
                <w:sz w:val="24"/>
                <w:szCs w:val="24"/>
              </w:rPr>
              <w:t>350</w:t>
            </w:r>
          </w:p>
        </w:tc>
      </w:tr>
    </w:tbl>
    <w:p>
      <w:pPr>
        <w:pStyle w:val="7"/>
        <w:keepNext w:val="0"/>
        <w:keepLines w:val="0"/>
        <w:widowControl/>
        <w:suppressLineNumbers w:val="0"/>
        <w:jc w:val="left"/>
        <w:rPr>
          <w:sz w:val="20"/>
          <w:szCs w:val="20"/>
        </w:rPr>
      </w:pPr>
      <w:r>
        <w:rPr>
          <w:sz w:val="13"/>
          <w:szCs w:val="13"/>
        </w:rPr>
        <w:t>　</w:t>
      </w:r>
      <w:r>
        <w:rPr>
          <w:sz w:val="20"/>
          <w:szCs w:val="20"/>
        </w:rPr>
        <w:t>　六、退役大学生士兵计划复试分数线</w:t>
      </w:r>
    </w:p>
    <w:p>
      <w:pPr>
        <w:pStyle w:val="7"/>
        <w:keepNext w:val="0"/>
        <w:keepLines w:val="0"/>
        <w:widowControl/>
        <w:suppressLineNumbers w:val="0"/>
        <w:jc w:val="left"/>
        <w:rPr>
          <w:sz w:val="20"/>
          <w:szCs w:val="20"/>
        </w:rPr>
      </w:pPr>
      <w:r>
        <w:rPr>
          <w:sz w:val="20"/>
          <w:szCs w:val="20"/>
        </w:rPr>
        <w:t>　　初试成绩总分不低于350分。</w:t>
      </w:r>
    </w:p>
    <w:p>
      <w:pPr>
        <w:pStyle w:val="7"/>
        <w:keepNext w:val="0"/>
        <w:keepLines w:val="0"/>
        <w:widowControl/>
        <w:suppressLineNumbers w:val="0"/>
        <w:rPr>
          <w:sz w:val="40"/>
          <w:szCs w:val="40"/>
        </w:rPr>
      </w:pPr>
      <w:r>
        <w:rPr>
          <w:sz w:val="20"/>
          <w:szCs w:val="20"/>
        </w:rPr>
        <w:t>　　七、其他</w:t>
      </w:r>
    </w:p>
    <w:p>
      <w:pPr>
        <w:pStyle w:val="7"/>
        <w:keepNext w:val="0"/>
        <w:keepLines w:val="0"/>
        <w:widowControl/>
        <w:suppressLineNumbers w:val="0"/>
        <w:rPr>
          <w:sz w:val="40"/>
          <w:szCs w:val="40"/>
        </w:rPr>
      </w:pPr>
      <w:r>
        <w:rPr>
          <w:sz w:val="20"/>
          <w:szCs w:val="20"/>
        </w:rPr>
        <w:t>　　北京师范大学对参加“大学生志愿服务西部计划”、“三支一扶计划”、“农村义务教育阶段学校教师特设岗位计划”、“赴外汉语教师志愿者”、“高校学生应征入伍服现役退役”、“选聘高校毕业生到村任职”等其他专项计划/项目，服务期满并考核合格的考生，执行教育部有关加分政策。</w:t>
      </w:r>
    </w:p>
    <w:p>
      <w:pPr>
        <w:pStyle w:val="7"/>
        <w:keepNext w:val="0"/>
        <w:keepLines w:val="0"/>
        <w:widowControl/>
        <w:suppressLineNumbers w:val="0"/>
        <w:jc w:val="left"/>
        <w:rPr>
          <w:sz w:val="40"/>
          <w:szCs w:val="40"/>
        </w:rPr>
      </w:pPr>
      <w:r>
        <w:rPr>
          <w:sz w:val="20"/>
          <w:szCs w:val="20"/>
        </w:rPr>
        <w:t>　　符合教育部规定、可享受研究生入学考试初试加分政策的考生可于3月16日中午12点前向所报考学部院系提交相关证明材料，我校根据教育部最新文件及名单审核考生资格，符合资格的考生将享受初试成绩总分加分(单科不加分)。</w:t>
      </w:r>
    </w:p>
    <w:p>
      <w:pPr>
        <w:rPr>
          <w:rFonts w:hint="eastAsia"/>
          <w:sz w:val="21"/>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xicons">
    <w:altName w:val="Segoe Print"/>
    <w:panose1 w:val="00000000000000000000"/>
    <w:charset w:val="00"/>
    <w:family w:val="auto"/>
    <w:pitch w:val="default"/>
    <w:sig w:usb0="00000000" w:usb1="00000000" w:usb2="00000000" w:usb3="00000000" w:csb0="00000000" w:csb1="00000000"/>
  </w:font>
  <w:font w:name="themify">
    <w:altName w:val="Segoe Print"/>
    <w:panose1 w:val="00000000000000000000"/>
    <w:charset w:val="00"/>
    <w:family w:val="auto"/>
    <w:pitch w:val="default"/>
    <w:sig w:usb0="00000000" w:usb1="00000000" w:usb2="00000000" w:usb3="00000000" w:csb0="00000000" w:csb1="00000000"/>
  </w:font>
  <w:font w:name="Flatico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Open Sans">
    <w:panose1 w:val="020B0606030504020204"/>
    <w:charset w:val="00"/>
    <w:family w:val="auto"/>
    <w:pitch w:val="default"/>
    <w:sig w:usb0="E00002EF" w:usb1="4000205B" w:usb2="00000028"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m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F5050"/>
    <w:rsid w:val="093F5050"/>
    <w:rsid w:val="0CC576FF"/>
    <w:rsid w:val="1FD34189"/>
    <w:rsid w:val="393E7104"/>
    <w:rsid w:val="433C70F8"/>
    <w:rsid w:val="66CC6B69"/>
    <w:rsid w:val="6FF7250C"/>
    <w:rsid w:val="749E3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1" w:line="14" w:lineRule="atLeast"/>
      <w:jc w:val="left"/>
    </w:pPr>
    <w:rPr>
      <w:rFonts w:ascii="sans-serif" w:hAnsi="sans-serif" w:eastAsia="sans-serif" w:cs="sans-serif"/>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1" w:line="14" w:lineRule="atLeast"/>
      <w:jc w:val="left"/>
    </w:pPr>
    <w:rPr>
      <w:rFonts w:ascii="sans-serif" w:hAnsi="sans-serif" w:eastAsia="sans-serif" w:cs="sans-serif"/>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0"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FollowedHyperlink"/>
    <w:basedOn w:val="9"/>
    <w:uiPriority w:val="0"/>
    <w:rPr>
      <w:color w:val="2D2E2E"/>
      <w:u w:val="none"/>
    </w:rPr>
  </w:style>
  <w:style w:type="character" w:styleId="12">
    <w:name w:val="Emphasis"/>
    <w:basedOn w:val="9"/>
    <w:qFormat/>
    <w:uiPriority w:val="0"/>
  </w:style>
  <w:style w:type="character" w:styleId="13">
    <w:name w:val="HTML Definition"/>
    <w:basedOn w:val="9"/>
    <w:uiPriority w:val="0"/>
  </w:style>
  <w:style w:type="character" w:styleId="14">
    <w:name w:val="HTML Variable"/>
    <w:basedOn w:val="9"/>
    <w:uiPriority w:val="0"/>
  </w:style>
  <w:style w:type="character" w:styleId="15">
    <w:name w:val="Hyperlink"/>
    <w:basedOn w:val="9"/>
    <w:uiPriority w:val="0"/>
    <w:rPr>
      <w:color w:val="2D2E2E"/>
      <w:u w:val="none"/>
    </w:rPr>
  </w:style>
  <w:style w:type="character" w:styleId="16">
    <w:name w:val="HTML Code"/>
    <w:basedOn w:val="9"/>
    <w:uiPriority w:val="0"/>
    <w:rPr>
      <w:rFonts w:ascii="Consolas" w:hAnsi="Consolas" w:eastAsia="Consolas" w:cs="Consolas"/>
      <w:color w:val="E83E8C"/>
      <w:sz w:val="21"/>
      <w:szCs w:val="21"/>
    </w:rPr>
  </w:style>
  <w:style w:type="character" w:styleId="17">
    <w:name w:val="HTML Cite"/>
    <w:basedOn w:val="9"/>
    <w:uiPriority w:val="0"/>
  </w:style>
  <w:style w:type="character" w:styleId="18">
    <w:name w:val="HTML Keyboard"/>
    <w:basedOn w:val="9"/>
    <w:uiPriority w:val="0"/>
    <w:rPr>
      <w:rFonts w:hint="default" w:ascii="Consolas" w:hAnsi="Consolas" w:eastAsia="Consolas" w:cs="Consolas"/>
      <w:color w:val="FFFFFF"/>
      <w:sz w:val="21"/>
      <w:szCs w:val="21"/>
      <w:shd w:val="clear" w:fill="212529"/>
    </w:rPr>
  </w:style>
  <w:style w:type="character" w:styleId="19">
    <w:name w:val="HTML Sample"/>
    <w:basedOn w:val="9"/>
    <w:uiPriority w:val="0"/>
    <w:rPr>
      <w:rFonts w:hint="default" w:ascii="Consolas" w:hAnsi="Consolas" w:eastAsia="Consolas" w:cs="Consolas"/>
      <w:sz w:val="21"/>
      <w:szCs w:val="21"/>
    </w:rPr>
  </w:style>
  <w:style w:type="character" w:customStyle="1" w:styleId="20">
    <w:name w:val="after"/>
    <w:basedOn w:val="9"/>
    <w:uiPriority w:val="0"/>
    <w:rPr>
      <w:bdr w:val="single" w:color="FFFFFF" w:sz="4" w:space="0"/>
    </w:rPr>
  </w:style>
  <w:style w:type="character" w:customStyle="1" w:styleId="21">
    <w:name w:val="dolar"/>
    <w:basedOn w:val="9"/>
    <w:uiPriority w:val="0"/>
    <w:rPr>
      <w:color w:val="999999"/>
      <w:sz w:val="28"/>
      <w:szCs w:val="28"/>
    </w:rPr>
  </w:style>
  <w:style w:type="character" w:customStyle="1" w:styleId="22">
    <w:name w:val="last-child"/>
    <w:basedOn w:val="9"/>
    <w:uiPriority w:val="0"/>
  </w:style>
  <w:style w:type="character" w:customStyle="1" w:styleId="23">
    <w:name w:val="users"/>
    <w:basedOn w:val="9"/>
    <w:uiPriority w:val="0"/>
    <w:rPr>
      <w:b/>
      <w:bCs/>
      <w:caps/>
      <w:color w:val="1067DB"/>
      <w:sz w:val="15"/>
      <w:szCs w:val="15"/>
    </w:rPr>
  </w:style>
  <w:style w:type="character" w:customStyle="1" w:styleId="24">
    <w:name w:val="before1"/>
    <w:basedOn w:val="9"/>
    <w:uiPriority w:val="0"/>
    <w:rPr>
      <w:bdr w:val="single" w:color="FFFFFF" w:sz="4" w:space="0"/>
    </w:rPr>
  </w:style>
  <w:style w:type="character" w:customStyle="1" w:styleId="25">
    <w:name w:val="before"/>
    <w:basedOn w:val="9"/>
    <w:uiPriority w:val="0"/>
    <w:rPr>
      <w:bdr w:val="single" w:color="FFFFFF" w:sz="4" w:space="0"/>
    </w:rPr>
  </w:style>
  <w:style w:type="character" w:customStyle="1" w:styleId="26">
    <w:name w:val="csc-uploads-filename"/>
    <w:basedOn w:val="9"/>
    <w:uiPriority w:val="0"/>
    <w:rPr>
      <w:u w:val="single"/>
    </w:rPr>
  </w:style>
  <w:style w:type="paragraph" w:styleId="27">
    <w:name w:val=""/>
    <w:basedOn w:val="1"/>
    <w:next w:val="1"/>
    <w:uiPriority w:val="0"/>
    <w:pPr>
      <w:pBdr>
        <w:bottom w:val="single" w:color="auto" w:sz="6" w:space="1"/>
      </w:pBdr>
      <w:jc w:val="center"/>
    </w:pPr>
    <w:rPr>
      <w:rFonts w:ascii="Arial" w:eastAsia="宋体"/>
      <w:vanish/>
      <w:sz w:val="16"/>
    </w:rPr>
  </w:style>
  <w:style w:type="paragraph" w:styleId="2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2021-03-16T01:42:00Z</dcterms:created>
  <dc:creator>简简单单就好</dc:creator>
  <cp:lastModifiedBy>简简单单就好</cp:lastModifiedBy>
  <dcterms:modified xsi:type="dcterms:W3CDTF">2021-03-16T08:03:25Z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835A7911274D42BDB1F4784CC78281B9</vt:lpwstr>
  </property>
</Properties>
</file>